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91" w:rsidRPr="00A65B4D" w:rsidRDefault="00DD4291" w:rsidP="00DD4291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429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BC</w:t>
      </w:r>
      <w:r w:rsidRPr="00DD4291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Pr="00DD429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NW</w:t>
      </w:r>
      <w:r w:rsidRPr="00DD4291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2015</w:t>
      </w:r>
      <w:r w:rsidRPr="00DD429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DD4291">
        <w:rPr>
          <w:rFonts w:ascii="Times New Roman" w:hAnsi="Times New Roman"/>
          <w:b/>
          <w:bCs/>
          <w:color w:val="000000"/>
          <w:sz w:val="28"/>
          <w:szCs w:val="28"/>
        </w:rPr>
        <w:t>№ 2 (27):</w:t>
      </w:r>
      <w:r w:rsidRPr="00DD429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6</w:t>
      </w:r>
      <w:r w:rsidRPr="00DD4291">
        <w:rPr>
          <w:rFonts w:ascii="Times New Roman" w:hAnsi="Times New Roman"/>
          <w:b/>
          <w:bCs/>
          <w:color w:val="000000"/>
          <w:sz w:val="28"/>
          <w:szCs w:val="28"/>
        </w:rPr>
        <w:t>.1</w:t>
      </w:r>
    </w:p>
    <w:p w:rsidR="00DD4291" w:rsidRDefault="00DD4291" w:rsidP="00D34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6764" w:rsidRPr="00D34126" w:rsidRDefault="00D34126" w:rsidP="00D34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26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gramStart"/>
      <w:r w:rsidRPr="00D34126">
        <w:rPr>
          <w:rFonts w:ascii="Times New Roman" w:hAnsi="Times New Roman" w:cs="Times New Roman"/>
          <w:b/>
          <w:sz w:val="28"/>
          <w:szCs w:val="28"/>
        </w:rPr>
        <w:t>ПОВЫШЕНИЯ ТОЧНОСТИ ОПРЕДЕЛЕНИЯ КООРДИНАТ ВОЗДУШНЫХ ОБЪЕКТОВ</w:t>
      </w:r>
      <w:proofErr w:type="gramEnd"/>
      <w:r w:rsidRPr="00D34126">
        <w:rPr>
          <w:rFonts w:ascii="Times New Roman" w:hAnsi="Times New Roman" w:cs="Times New Roman"/>
          <w:b/>
          <w:sz w:val="28"/>
          <w:szCs w:val="28"/>
        </w:rPr>
        <w:t xml:space="preserve"> ЗАГОРИЗОНТНЫМИ РЛС</w:t>
      </w:r>
    </w:p>
    <w:p w:rsidR="00A55330" w:rsidRPr="00D34126" w:rsidRDefault="00E12F0B" w:rsidP="00D3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Кочев М</w:t>
      </w:r>
      <w:r w:rsidR="00A55330" w:rsidRPr="00D34126">
        <w:rPr>
          <w:rFonts w:ascii="Times New Roman" w:hAnsi="Times New Roman" w:cs="Times New Roman"/>
          <w:sz w:val="28"/>
          <w:szCs w:val="28"/>
        </w:rPr>
        <w:t xml:space="preserve">.Ю., Климов Ф.Н., </w:t>
      </w:r>
      <w:proofErr w:type="spellStart"/>
      <w:r w:rsidR="00A55330" w:rsidRPr="00D34126">
        <w:rPr>
          <w:rFonts w:ascii="Times New Roman" w:hAnsi="Times New Roman" w:cs="Times New Roman"/>
          <w:sz w:val="28"/>
          <w:szCs w:val="28"/>
        </w:rPr>
        <w:t>Луньков</w:t>
      </w:r>
      <w:proofErr w:type="spellEnd"/>
      <w:r w:rsidR="00A55330" w:rsidRPr="00D34126"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 w:rsidR="00A55330" w:rsidRPr="00D34126">
        <w:rPr>
          <w:rFonts w:ascii="Times New Roman" w:hAnsi="Times New Roman" w:cs="Times New Roman"/>
          <w:sz w:val="28"/>
          <w:szCs w:val="28"/>
        </w:rPr>
        <w:t>Гарькин</w:t>
      </w:r>
      <w:proofErr w:type="spellEnd"/>
      <w:r w:rsidR="00A55330" w:rsidRPr="00D3412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C6764" w:rsidRPr="00D34126" w:rsidRDefault="005C6764" w:rsidP="00D341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С возрастанием дальности действия средств воздушного нападения, таких как крылатые ракеты и беспилотные самолёты, возрастает необходимость контролировать воздушное пространство на больших расстояниях от наших границ. Долгие годы единственным средством наблюдения на больших расстояниях являлись </w:t>
      </w:r>
      <w:proofErr w:type="spellStart"/>
      <w:r w:rsidRPr="00D34126">
        <w:rPr>
          <w:rFonts w:ascii="Times New Roman" w:hAnsi="Times New Roman" w:cs="Times New Roman"/>
          <w:sz w:val="28"/>
          <w:szCs w:val="28"/>
        </w:rPr>
        <w:t>загоризонтные</w:t>
      </w:r>
      <w:proofErr w:type="spellEnd"/>
      <w:r w:rsidRPr="00D34126">
        <w:rPr>
          <w:rFonts w:ascii="Times New Roman" w:hAnsi="Times New Roman" w:cs="Times New Roman"/>
          <w:sz w:val="28"/>
          <w:szCs w:val="28"/>
        </w:rPr>
        <w:t xml:space="preserve"> локаторы, обеспечивающие обнаружение летательных аппаратов на дальних рубежах. Так как </w:t>
      </w:r>
      <w:proofErr w:type="spellStart"/>
      <w:r w:rsidRPr="00D34126">
        <w:rPr>
          <w:rFonts w:ascii="Times New Roman" w:hAnsi="Times New Roman" w:cs="Times New Roman"/>
          <w:sz w:val="28"/>
          <w:szCs w:val="28"/>
        </w:rPr>
        <w:t>загоризонтные</w:t>
      </w:r>
      <w:proofErr w:type="spellEnd"/>
      <w:r w:rsidRPr="00D34126">
        <w:rPr>
          <w:rFonts w:ascii="Times New Roman" w:hAnsi="Times New Roman" w:cs="Times New Roman"/>
          <w:sz w:val="28"/>
          <w:szCs w:val="28"/>
        </w:rPr>
        <w:t xml:space="preserve"> радиолокационные станции (ЗГ РЛС) используют эффект отражения радиоволн от ионосферы и поверхности планеты они не могут обеспечить высокую точность определения координат летательного аппарата. Причём чем больше дальность обнаружения воздушных объектов, тем меньше точность определения их координат. Каждое отражение электронного луча </w:t>
      </w:r>
      <w:proofErr w:type="spellStart"/>
      <w:r w:rsidRPr="00D34126">
        <w:rPr>
          <w:rFonts w:ascii="Times New Roman" w:hAnsi="Times New Roman" w:cs="Times New Roman"/>
          <w:sz w:val="28"/>
          <w:szCs w:val="28"/>
        </w:rPr>
        <w:t>загоризонтного</w:t>
      </w:r>
      <w:proofErr w:type="spellEnd"/>
      <w:r w:rsidRPr="00D34126">
        <w:rPr>
          <w:rFonts w:ascii="Times New Roman" w:hAnsi="Times New Roman" w:cs="Times New Roman"/>
          <w:sz w:val="28"/>
          <w:szCs w:val="28"/>
        </w:rPr>
        <w:t xml:space="preserve"> локатора от поверхности земли и ионосферы вносит свою погрешность. Неровности поверхности земли и нестабильность высоты слоя ионосферы, от которого отражаются радиоволны, вносят значительные погрешности в точность определения координат воздушных объектов (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>. рис.1).</w:t>
      </w:r>
    </w:p>
    <w:p w:rsidR="005C6764" w:rsidRPr="00D34126" w:rsidRDefault="005C6764" w:rsidP="00D341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Вторым средством наблюдения за воздушным пространством на больших расстояниях являются спутники системы предупреждения о ракетном нападении (СПРН). Эти спутники, используя бортовую оптическую аппаратуру, которая фиксирует координаты места пуска ракет по факелу работающего разгонного реактивного двигателя.</w:t>
      </w:r>
    </w:p>
    <w:p w:rsidR="005C6764" w:rsidRPr="00D34126" w:rsidRDefault="00D34126" w:rsidP="00D3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6925" cy="36671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66712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rgbClr val="8EB4E3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C6764" w:rsidRPr="00D34126" w:rsidRDefault="005C6764" w:rsidP="00D3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Рис.1 Контроль воздушного пространства на большой дальности.</w:t>
      </w:r>
    </w:p>
    <w:p w:rsidR="005C6764" w:rsidRPr="00D34126" w:rsidRDefault="005C6764" w:rsidP="00D341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Но сегодня появилась такая технология как вещательное автоматическое зависимое наблюдение (АЗН-В). Информацию с наземных стаций системы АЗН-В собирают и обобщают с данными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обзорных РЛС. Таким образом, создано почти глобальное поле электронного наблюдения за воздушным пространством. Это электронное поле наблюдения ограничено только возможностью разместить наземные станции на берегу океанов и дальностью прямой видимости воздушных объектов, ограниченной кривизной поверхности земли. Кроме того, большая часть наземных станций размещена на территории стран НАТО. Следовательно, в данные получаемые от наземных станций иностранных государств могут быть внесены искажения, что неприемлемо для систем контроля воздушного пространства.</w:t>
      </w:r>
    </w:p>
    <w:p w:rsidR="005C6764" w:rsidRPr="00D34126" w:rsidRDefault="005C6764" w:rsidP="00D341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Информация о воздушном пространстве, приходящая от наземных станций АЗН-В и РЛС, собрана в основном на суше или вдоль береговых линий континентов. Точных  полётных данных о воздушных объектах над океанами в удалении от береговой линии нет. Нет так же информации о воздушном пространстве в горных массивах континентов и приполярных районах из-за низкой плотности населения и инфраструктуры в данных регионах планеты.</w:t>
      </w:r>
    </w:p>
    <w:p w:rsidR="005C6764" w:rsidRPr="00D34126" w:rsidRDefault="005C6764" w:rsidP="00D341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Следовательно, отследить запуск беспилотного самолёта, крылатой ракеты в горах или в океане очень сложно. Это создаёт высокие риски в наше время, так как такие системы могут быть применены для террористических и диверсионных актов. Особенно если учесть то, что запуск крылатой ракеты или ударного беспилотного самолёта может быть осуществлён из торпедного </w:t>
      </w:r>
      <w:r w:rsidRPr="00D34126">
        <w:rPr>
          <w:rFonts w:ascii="Times New Roman" w:hAnsi="Times New Roman" w:cs="Times New Roman"/>
          <w:sz w:val="28"/>
          <w:szCs w:val="28"/>
        </w:rPr>
        <w:lastRenderedPageBreak/>
        <w:t xml:space="preserve">аппарата сторожевого катера, с внешней подвески самолёта или с пусковой установки замаскированной под стандартный морской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контейнер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расположенный на гражданском сухогрузе, автомобильном прицепе или железнодорожной платформе.</w:t>
      </w:r>
    </w:p>
    <w:p w:rsidR="005C6764" w:rsidRPr="00D34126" w:rsidRDefault="005C6764" w:rsidP="00D341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Скорости большинства беспилотных самолётов и крылатых ракет среднего радиуса действия близки к скоростям пассажирских воздушных судов, следовательно, полёт таких средств нападения может быть замаскирован под обычное воздушное движение. Это ставит перед системами контроля воздушного пространства задачу выявления и идентификации таких средств нападения от момента пуска и на максимальной дальности от наших границ для обеспечения эффективного поражения их средствами ВКС.</w:t>
      </w:r>
    </w:p>
    <w:p w:rsidR="005C6764" w:rsidRPr="00D34126" w:rsidRDefault="005C6764" w:rsidP="00D341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Для решения данной задачи необходимо применять все имеющиеся и разрабатываемые системы наблюдения за воздушным пространством, в том числе вещательное автоматическое зависимое наблюдение (АЗН-В). </w:t>
      </w:r>
    </w:p>
    <w:p w:rsidR="005C6764" w:rsidRPr="00D34126" w:rsidRDefault="005C6764" w:rsidP="00D341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Для отслеживания воздушных судов над океанской поверхностью и в горных массивах континентов предлагается использовать спутниковые группировки. Эту задачу,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решить, разместив на бортах спутников ретрансляционное оборудование обеспечивающее сбор АЗН-В информации от воздушных судов и передачу её на наземные станции. </w:t>
      </w:r>
    </w:p>
    <w:p w:rsidR="005C6764" w:rsidRPr="00D34126" w:rsidRDefault="005C6764" w:rsidP="00D341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Такую спутниковую технологию сбора и ретрансляции полётной информации сейчас разрабатывают несколько иностранных и отечественных предприятий (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. рис.2). </w:t>
      </w:r>
    </w:p>
    <w:p w:rsidR="005C6764" w:rsidRPr="00D34126" w:rsidRDefault="00D34126" w:rsidP="00D3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5025" cy="4667250"/>
            <wp:effectExtent l="19050" t="19050" r="28575" b="190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667250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rgbClr val="8EB4E3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C6764" w:rsidRPr="00D34126" w:rsidRDefault="005C6764" w:rsidP="00D3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Рис. 2 Использование ретрансляции информации АЗН-В через спутник.</w:t>
      </w:r>
    </w:p>
    <w:p w:rsidR="005C6764" w:rsidRPr="00D34126" w:rsidRDefault="005C6764" w:rsidP="00D341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Почти все коммерческие воздушные суда оснащены навигационной аппаратурой, по данным которой формируются координатные сообщения, передаваемые по системе АЗН-В. Если применить спутниковую ретрансляцию координатных данных передаваемых по системе АЗН-В, то мы можем использовать эти данные для повышения точности работы </w:t>
      </w:r>
      <w:proofErr w:type="spellStart"/>
      <w:r w:rsidRPr="00D34126">
        <w:rPr>
          <w:rFonts w:ascii="Times New Roman" w:hAnsi="Times New Roman" w:cs="Times New Roman"/>
          <w:sz w:val="28"/>
          <w:szCs w:val="28"/>
        </w:rPr>
        <w:t>загоризонтных</w:t>
      </w:r>
      <w:proofErr w:type="spellEnd"/>
      <w:r w:rsidRPr="00D34126">
        <w:rPr>
          <w:rFonts w:ascii="Times New Roman" w:hAnsi="Times New Roman" w:cs="Times New Roman"/>
          <w:sz w:val="28"/>
          <w:szCs w:val="28"/>
        </w:rPr>
        <w:t xml:space="preserve"> радиолокационных станций (ЗГРЛС). </w:t>
      </w:r>
    </w:p>
    <w:p w:rsidR="005C6764" w:rsidRPr="00D34126" w:rsidRDefault="005C6764" w:rsidP="00D341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Географические координаты воздушного объекта, измеренные бортовой навигационной аппаратурой и переданные через спутник мы можем пересчитать в систему координат используемую на ЗГРЛС. Пересчитанные координаты воздушного объекта мы интерполируем на момент времени измерения его координат </w:t>
      </w:r>
      <w:proofErr w:type="spellStart"/>
      <w:r w:rsidRPr="00D34126">
        <w:rPr>
          <w:rFonts w:ascii="Times New Roman" w:hAnsi="Times New Roman" w:cs="Times New Roman"/>
          <w:sz w:val="28"/>
          <w:szCs w:val="28"/>
        </w:rPr>
        <w:t>загоризонтным</w:t>
      </w:r>
      <w:proofErr w:type="spellEnd"/>
      <w:r w:rsidRPr="00D34126">
        <w:rPr>
          <w:rFonts w:ascii="Times New Roman" w:hAnsi="Times New Roman" w:cs="Times New Roman"/>
          <w:sz w:val="28"/>
          <w:szCs w:val="28"/>
        </w:rPr>
        <w:t xml:space="preserve"> локатором. Далее получаем разницу по каждой координате, по которой мы можем скорректировать работу ЗГРЛС на данном участке воздушного пространства. Эти корректировки учитывают отражательные свойства поверхности и ионосферы Земли. Если свойства ионосферы меняются со временем, то свойства поверхности земли более стабильны. Следовательно, большую часть погрешностей измерения ЗГ РЛС мы сможем учесть, повысив точность измерений почти в два раза.</w:t>
      </w:r>
    </w:p>
    <w:p w:rsidR="005C6764" w:rsidRPr="00D34126" w:rsidRDefault="005C6764" w:rsidP="00D341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lastRenderedPageBreak/>
        <w:t xml:space="preserve">Если данную информацию использовать  для корректировки данных от </w:t>
      </w:r>
      <w:proofErr w:type="spellStart"/>
      <w:r w:rsidRPr="00D34126">
        <w:rPr>
          <w:rFonts w:ascii="Times New Roman" w:hAnsi="Times New Roman" w:cs="Times New Roman"/>
          <w:sz w:val="28"/>
          <w:szCs w:val="28"/>
        </w:rPr>
        <w:t>загоризонтных</w:t>
      </w:r>
      <w:proofErr w:type="spellEnd"/>
      <w:r w:rsidRPr="00D34126">
        <w:rPr>
          <w:rFonts w:ascii="Times New Roman" w:hAnsi="Times New Roman" w:cs="Times New Roman"/>
          <w:sz w:val="28"/>
          <w:szCs w:val="28"/>
        </w:rPr>
        <w:t xml:space="preserve"> РЛС, это даст не только повышение точности определения местоположения воздушных объектов, но и даст поток параметрических данных для селекции опасных воздушных объектов, в потоке коммерческих воздушных судов. Точные данные о местоположении гражданских воздушных судов дадут информацию для выработки режимов ЗГРЛС при работе с аэродинамическими целями, оценки состояния трасс радиосигналов и выработки рекомендаций по выбору режимов работы станций (длительности импульсов и рабочих частот).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FedraSerifBPro-Book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Такая информация должна учитывать задержки передачи данных через спутник. Оценим задержки передачи данных для этой системы на примере простейшего алгоритма ретрансляции сообщений.</w:t>
      </w:r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Пусть имеется спутниковый канал связи, соединяющий воздушное судно</w:t>
      </w:r>
      <w:proofErr w:type="gramStart"/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А</w:t>
      </w:r>
      <w:proofErr w:type="gramEnd"/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с приемным наземным пунктом В, через спутник С. Задержка распространения сигнала от А до спутника С равна τ</w:t>
      </w:r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>1</w:t>
      </w:r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секунд. Задержка распространения сигнала от спутника</w:t>
      </w:r>
      <w:proofErr w:type="gramStart"/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С</w:t>
      </w:r>
      <w:proofErr w:type="gramEnd"/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до наземной станции В равна τ</w:t>
      </w:r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>2</w:t>
      </w:r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секунд. Задержка обработки сообщения ретранслятором τ</w:t>
      </w:r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>3</w:t>
      </w:r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секунд. Воздушное судно</w:t>
      </w:r>
      <w:proofErr w:type="gramStart"/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А</w:t>
      </w:r>
      <w:proofErr w:type="gramEnd"/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в момент времени T1 начинает передачу пакета информации. 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eastAsia="FedraSerifBPro-Book" w:hAnsi="Times New Roman" w:cs="Times New Roman"/>
          <w:sz w:val="28"/>
          <w:szCs w:val="28"/>
        </w:rPr>
        <w:t>Приемный спутник получит последний бит информации в момент времени:</w:t>
      </w:r>
    </w:p>
    <w:p w:rsidR="005C6764" w:rsidRPr="00D34126" w:rsidRDefault="00203283" w:rsidP="00D34126">
      <w:pPr>
        <w:tabs>
          <w:tab w:val="left" w:pos="3749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5C6764" w:rsidRPr="00D34126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C6764" w:rsidRPr="00D34126" w:rsidRDefault="005C6764" w:rsidP="00D34126">
      <w:pPr>
        <w:tabs>
          <w:tab w:val="left" w:pos="374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После чего обрабатывает сообщение </w:t>
      </w:r>
      <w:r w:rsidRPr="00D34126">
        <w:rPr>
          <w:rFonts w:ascii="Times New Roman" w:eastAsia="FedraSerifBPro-Book" w:hAnsi="Times New Roman" w:cs="Times New Roman"/>
          <w:sz w:val="28"/>
          <w:szCs w:val="28"/>
        </w:rPr>
        <w:t>τ</w:t>
      </w:r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>3</w:t>
      </w:r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34126">
        <w:rPr>
          <w:rFonts w:ascii="Times New Roman" w:eastAsiaTheme="minorEastAsia" w:hAnsi="Times New Roman" w:cs="Times New Roman"/>
          <w:sz w:val="28"/>
          <w:szCs w:val="28"/>
        </w:rPr>
        <w:t>сеунд</w:t>
      </w:r>
      <w:proofErr w:type="spellEnd"/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 и направит пакет на наземную станцию в момент времени:</w:t>
      </w:r>
    </w:p>
    <w:p w:rsidR="005C6764" w:rsidRPr="00D34126" w:rsidRDefault="00203283" w:rsidP="00D341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b>
          </m:sSub>
        </m:oMath>
      </m:oMathPara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>Далее цикл передачи повторяется. Таким образом, за время: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Т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b>
          </m:sSub>
        </m:oMath>
      </m:oMathPara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>будет передано  сообщение от источника к приемнику.</w:t>
      </w:r>
      <w:r w:rsidRPr="00D34126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</w:p>
    <w:p w:rsidR="005C6764" w:rsidRPr="00D34126" w:rsidRDefault="00F74F47" w:rsidP="00D341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object w:dxaOrig="3292" w:dyaOrig="2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3pt;height:257.85pt" o:ole="">
            <v:imagedata r:id="rId7" o:title=""/>
          </v:shape>
          <o:OLEObject Type="Embed" ProgID="Visio.Drawing.11" ShapeID="_x0000_i1025" DrawAspect="Content" ObjectID="_1515503145" r:id="rId8"/>
        </w:objec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Рис. 3 Схема передачи данных с летательного аппарата на наземную станцию.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FedraSerifBPro-Book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Задержки распространения сигналов </w:t>
      </w:r>
      <w:r w:rsidRPr="00D34126">
        <w:rPr>
          <w:rFonts w:ascii="Times New Roman" w:eastAsia="FedraSerifBPro-Book" w:hAnsi="Times New Roman" w:cs="Times New Roman"/>
          <w:sz w:val="28"/>
          <w:szCs w:val="28"/>
        </w:rPr>
        <w:t>τ</w:t>
      </w:r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 xml:space="preserve">1 </w:t>
      </w:r>
      <w:r w:rsidRPr="00D34126">
        <w:rPr>
          <w:rFonts w:ascii="Times New Roman" w:eastAsia="FedraSerifBPro-Book" w:hAnsi="Times New Roman" w:cs="Times New Roman"/>
          <w:sz w:val="28"/>
          <w:szCs w:val="28"/>
        </w:rPr>
        <w:t>и τ</w:t>
      </w:r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 xml:space="preserve">2 </w:t>
      </w:r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зависят от наклонных дальностей </w:t>
      </w:r>
      <w:r w:rsidRPr="00D34126">
        <w:rPr>
          <w:rFonts w:ascii="Times New Roman" w:eastAsia="FedraSerifBPro-Book" w:hAnsi="Times New Roman" w:cs="Times New Roman"/>
          <w:sz w:val="28"/>
          <w:szCs w:val="28"/>
          <w:lang w:val="en-US"/>
        </w:rPr>
        <w:t>d</w:t>
      </w:r>
      <w:proofErr w:type="spellStart"/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>сс</w:t>
      </w:r>
      <w:proofErr w:type="spellEnd"/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на линии «Самолёт-Спутник» и </w:t>
      </w:r>
      <w:r w:rsidRPr="00D34126">
        <w:rPr>
          <w:rFonts w:ascii="Times New Roman" w:eastAsia="FedraSerifBPro-Book" w:hAnsi="Times New Roman" w:cs="Times New Roman"/>
          <w:sz w:val="28"/>
          <w:szCs w:val="28"/>
          <w:lang w:val="en-US"/>
        </w:rPr>
        <w:t>d</w:t>
      </w:r>
      <w:proofErr w:type="spellStart"/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>сз</w:t>
      </w:r>
      <w:proofErr w:type="spellEnd"/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на линии «Спутник </w:t>
      </w:r>
      <w:proofErr w:type="gramStart"/>
      <w:r w:rsidRPr="00D34126">
        <w:rPr>
          <w:rFonts w:ascii="Times New Roman" w:eastAsia="FedraSerifBPro-Book" w:hAnsi="Times New Roman" w:cs="Times New Roman"/>
          <w:sz w:val="28"/>
          <w:szCs w:val="28"/>
        </w:rPr>
        <w:t>–З</w:t>
      </w:r>
      <w:proofErr w:type="gramEnd"/>
      <w:r w:rsidRPr="00D34126">
        <w:rPr>
          <w:rFonts w:ascii="Times New Roman" w:eastAsia="FedraSerifBPro-Book" w:hAnsi="Times New Roman" w:cs="Times New Roman"/>
          <w:sz w:val="28"/>
          <w:szCs w:val="28"/>
        </w:rPr>
        <w:t>емля»:</w:t>
      </w:r>
    </w:p>
    <w:p w:rsidR="005C6764" w:rsidRPr="00D34126" w:rsidRDefault="00203283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FedraSerifBPro-Book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FedraSerifBPro-Book" w:hAnsi="Times New Roman" w:cs="Times New Roman"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eastAsia="FedraSerifBPro-Book" w:hAnsi="Times New Roman" w:cs="Times New Roman"/>
                <w:sz w:val="28"/>
                <w:szCs w:val="28"/>
                <w:vertAlign w:val="subscript"/>
              </w:rPr>
              <m:t>1</m:t>
            </m:r>
          </m:sub>
        </m:sSub>
        <m:r>
          <m:rPr>
            <m:sty m:val="p"/>
          </m:rPr>
          <w:rPr>
            <w:rFonts w:ascii="Cambria Math" w:eastAsia="FedraSerifBPro-Book" w:hAnsi="Times New Roman" w:cs="Times New Roman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eastAsia="FedraSerifBPro-Book" w:hAnsi="Times New Roman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eastAsia="FedraSerifBPro-Book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FedraSerifBPro-Book" w:hAnsi="Times New Roman" w:cs="Times New Roman"/>
                <w:sz w:val="28"/>
                <w:szCs w:val="28"/>
                <w:vertAlign w:val="subscript"/>
              </w:rPr>
              <m:t>сс</m:t>
            </m:r>
          </m:sub>
        </m:sSub>
        <m:r>
          <w:rPr>
            <w:rFonts w:ascii="Cambria Math" w:eastAsia="FedraSerifBPro-Book" w:hAnsi="Times New Roman" w:cs="Times New Roman"/>
            <w:sz w:val="28"/>
            <w:szCs w:val="28"/>
            <w:vertAlign w:val="subscript"/>
          </w:rPr>
          <m:t>/</m:t>
        </m:r>
        <m:r>
          <m:rPr>
            <m:sty m:val="p"/>
          </m:rPr>
          <w:rPr>
            <w:rFonts w:ascii="Cambria Math" w:eastAsia="FedraSerifBPro-Book" w:hAnsi="Times New Roman" w:cs="Times New Roman"/>
            <w:sz w:val="28"/>
            <w:szCs w:val="28"/>
            <w:vertAlign w:val="subscript"/>
          </w:rPr>
          <m:t>v</m:t>
        </m:r>
      </m:oMath>
      <w:r w:rsidR="005C6764" w:rsidRPr="00D3412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5C6764" w:rsidRPr="00D3412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m:oMath>
        <m:sSub>
          <m:sSubPr>
            <m:ctrlPr>
              <w:rPr>
                <w:rFonts w:ascii="Cambria Math" w:eastAsia="FedraSerifBPro-Book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FedraSerifBPro-Book" w:hAnsi="Times New Roman" w:cs="Times New Roman"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eastAsia="FedraSerifBPro-Book" w:hAnsi="Times New Roman" w:cs="Times New Roman"/>
                <w:sz w:val="28"/>
                <w:szCs w:val="28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FedraSerifBPro-Book" w:hAnsi="Times New Roman" w:cs="Times New Roman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eastAsia="FedraSerifBPro-Book" w:hAnsi="Times New Roman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eastAsia="FedraSerifBPro-Book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FedraSerifBPro-Book" w:hAnsi="Times New Roman" w:cs="Times New Roman"/>
                <w:sz w:val="28"/>
                <w:szCs w:val="28"/>
                <w:vertAlign w:val="subscript"/>
              </w:rPr>
              <m:t>сз</m:t>
            </m:r>
          </m:sub>
        </m:sSub>
        <m:r>
          <m:rPr>
            <m:sty m:val="p"/>
          </m:rPr>
          <w:rPr>
            <w:rFonts w:ascii="Cambria Math" w:eastAsia="FedraSerifBPro-Book" w:hAnsi="Times New Roman" w:cs="Times New Roman"/>
            <w:sz w:val="28"/>
            <w:szCs w:val="28"/>
            <w:vertAlign w:val="subscript"/>
          </w:rPr>
          <m:t>/</m:t>
        </m:r>
        <m:r>
          <m:rPr>
            <m:sty m:val="p"/>
          </m:rPr>
          <w:rPr>
            <w:rFonts w:ascii="Cambria Math" w:eastAsia="FedraSerifBPro-Book" w:hAnsi="Times New Roman" w:cs="Times New Roman"/>
            <w:sz w:val="28"/>
            <w:szCs w:val="28"/>
            <w:vertAlign w:val="subscript"/>
            <w:lang w:val="en-US"/>
          </w:rPr>
          <m:t>v</m:t>
        </m:r>
      </m:oMath>
      <w:r w:rsidRPr="00D3412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D34126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 скорость света, </w:t>
      </w:r>
      <w:r w:rsidRPr="00D34126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 =299792458 м/</w:t>
      </w:r>
      <w:proofErr w:type="gramStart"/>
      <w:r w:rsidRPr="00D34126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D3412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FedraSerifBPro-Book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Наклонная дальность на линии </w:t>
      </w:r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«Самолёт-Спутник» зависит от мощности бортового транспондера и чувствительности приёмной системы спутника. Современная стандартная бортовая аппаратура воздушных судов и стволов спутников позволяет принимать информацию с  максимальной наклонной дальностью не более </w:t>
      </w:r>
      <w:proofErr w:type="gramStart"/>
      <w:r w:rsidRPr="00D34126">
        <w:rPr>
          <w:rFonts w:ascii="Times New Roman" w:eastAsia="FedraSerifBPro-Book" w:hAnsi="Times New Roman" w:cs="Times New Roman"/>
          <w:sz w:val="28"/>
          <w:szCs w:val="28"/>
          <w:lang w:val="en-US"/>
        </w:rPr>
        <w:t>d</w:t>
      </w:r>
      <w:proofErr w:type="spellStart"/>
      <w:proofErr w:type="gramEnd"/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>сс</w:t>
      </w:r>
      <w:proofErr w:type="spellEnd"/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 xml:space="preserve"> макс</w:t>
      </w:r>
      <w:r w:rsidR="00642E9F"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=2256 км. Следовательно,</w:t>
      </w:r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FedraSerifBPro-Book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FedraSerifBPro-Book" w:hAnsi="Times New Roman" w:cs="Times New Roman"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eastAsia="FedraSerifBPro-Book" w:hAnsi="Times New Roman" w:cs="Times New Roman"/>
                <w:sz w:val="28"/>
                <w:szCs w:val="28"/>
                <w:vertAlign w:val="subscript"/>
              </w:rPr>
              <m:t xml:space="preserve">1 </m:t>
            </m:r>
            <m:r>
              <m:rPr>
                <m:sty m:val="p"/>
              </m:rPr>
              <w:rPr>
                <w:rFonts w:ascii="Cambria Math" w:eastAsia="FedraSerifBPro-Book" w:hAnsi="Times New Roman" w:cs="Times New Roman"/>
                <w:sz w:val="28"/>
                <w:szCs w:val="28"/>
                <w:vertAlign w:val="subscript"/>
              </w:rPr>
              <m:t>макс</m:t>
            </m:r>
          </m:sub>
        </m:sSub>
        <m:r>
          <m:rPr>
            <m:sty m:val="p"/>
          </m:rPr>
          <w:rPr>
            <w:rFonts w:ascii="Cambria Math" w:eastAsia="FedraSerifBPro-Book" w:hAnsi="Times New Roman" w:cs="Times New Roman"/>
            <w:sz w:val="28"/>
            <w:szCs w:val="28"/>
            <w:vertAlign w:val="subscript"/>
          </w:rPr>
          <m:t xml:space="preserve">=7,53 </m:t>
        </m:r>
        <m:r>
          <m:rPr>
            <m:sty m:val="p"/>
          </m:rPr>
          <w:rPr>
            <w:rFonts w:ascii="Cambria Math" w:eastAsia="FedraSerifBPro-Book" w:hAnsi="Times New Roman" w:cs="Times New Roman"/>
            <w:sz w:val="28"/>
            <w:szCs w:val="28"/>
            <w:vertAlign w:val="subscript"/>
          </w:rPr>
          <m:t>мс</m:t>
        </m:r>
      </m:oMath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>.</w:t>
      </w:r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 При такой наклонной дальности связи мы можем использовать только низкоорбитальные спутники связи.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="FedraSerifBPro-Book" w:hAnsi="Times New Roman" w:cs="Times New Roman"/>
          <w:sz w:val="28"/>
          <w:szCs w:val="28"/>
        </w:rPr>
        <w:t xml:space="preserve">Максимальная дальность </w:t>
      </w:r>
      <w:r w:rsidRPr="00D34126">
        <w:rPr>
          <w:rFonts w:ascii="Times New Roman" w:eastAsia="FedraSerifBPro-Book" w:hAnsi="Times New Roman" w:cs="Times New Roman"/>
          <w:sz w:val="28"/>
          <w:szCs w:val="28"/>
          <w:lang w:val="en-US"/>
        </w:rPr>
        <w:t>d</w:t>
      </w:r>
      <w:proofErr w:type="spellStart"/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>сз</w:t>
      </w:r>
      <w:proofErr w:type="spellEnd"/>
      <w:r w:rsidRPr="00D34126">
        <w:rPr>
          <w:rFonts w:ascii="Times New Roman" w:eastAsia="FedraSerifBPro-Book" w:hAnsi="Times New Roman" w:cs="Times New Roman"/>
          <w:sz w:val="28"/>
          <w:szCs w:val="28"/>
          <w:vertAlign w:val="subscript"/>
        </w:rPr>
        <w:t xml:space="preserve"> макс</w:t>
      </w:r>
      <w:r w:rsidRPr="00D34126">
        <w:rPr>
          <w:rFonts w:ascii="Times New Roman" w:eastAsia="FedraSerifBPro-Book" w:hAnsi="Times New Roman" w:cs="Times New Roman"/>
          <w:sz w:val="28"/>
          <w:szCs w:val="28"/>
        </w:rPr>
        <w:t>, на которой можно установить связь наземной станции со спутником определяется высотой орбит спутниковой группировки (</w:t>
      </w:r>
      <w:proofErr w:type="gramStart"/>
      <w:r w:rsidRPr="00D34126">
        <w:rPr>
          <w:rFonts w:ascii="Times New Roman" w:eastAsia="FedraSerifBPro-Book" w:hAnsi="Times New Roman" w:cs="Times New Roman"/>
          <w:sz w:val="28"/>
          <w:szCs w:val="28"/>
        </w:rPr>
        <w:t>см</w:t>
      </w:r>
      <w:proofErr w:type="gramEnd"/>
      <w:r w:rsidRPr="00D34126">
        <w:rPr>
          <w:rFonts w:ascii="Times New Roman" w:eastAsia="FedraSerifBPro-Book" w:hAnsi="Times New Roman" w:cs="Times New Roman"/>
          <w:sz w:val="28"/>
          <w:szCs w:val="28"/>
        </w:rPr>
        <w:t>. таб. 1).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>Рассчитанные задержки при использовании различных спутниковых систем представлены в таб. 1.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>Таблица 1</w:t>
      </w:r>
    </w:p>
    <w:tbl>
      <w:tblPr>
        <w:tblStyle w:val="a6"/>
        <w:tblW w:w="0" w:type="auto"/>
        <w:jc w:val="center"/>
        <w:tblLook w:val="04A0"/>
      </w:tblPr>
      <w:tblGrid>
        <w:gridCol w:w="2518"/>
        <w:gridCol w:w="1240"/>
        <w:gridCol w:w="1395"/>
        <w:gridCol w:w="1126"/>
        <w:gridCol w:w="1686"/>
        <w:gridCol w:w="1184"/>
      </w:tblGrid>
      <w:tr w:rsidR="005C6764" w:rsidRPr="00D34126" w:rsidTr="003B6EA2">
        <w:trPr>
          <w:jc w:val="center"/>
        </w:trPr>
        <w:tc>
          <w:tcPr>
            <w:tcW w:w="2518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Спутниковые группировки</w:t>
            </w:r>
          </w:p>
        </w:tc>
        <w:tc>
          <w:tcPr>
            <w:tcW w:w="1240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D3412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Орбком</w:t>
            </w:r>
            <w:proofErr w:type="spellEnd"/>
          </w:p>
        </w:tc>
        <w:tc>
          <w:tcPr>
            <w:tcW w:w="1395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D3412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Иридиум</w:t>
            </w:r>
            <w:proofErr w:type="spellEnd"/>
          </w:p>
        </w:tc>
        <w:tc>
          <w:tcPr>
            <w:tcW w:w="1011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1686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D3412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Глобалстар</w:t>
            </w:r>
            <w:proofErr w:type="spellEnd"/>
          </w:p>
        </w:tc>
        <w:tc>
          <w:tcPr>
            <w:tcW w:w="1184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Сигнал</w:t>
            </w:r>
          </w:p>
        </w:tc>
      </w:tr>
      <w:tr w:rsidR="005C6764" w:rsidRPr="00D34126" w:rsidTr="003B6EA2">
        <w:trPr>
          <w:jc w:val="center"/>
        </w:trPr>
        <w:tc>
          <w:tcPr>
            <w:tcW w:w="2518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="FedraSerifBPro-Book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</w:rPr>
              <w:t xml:space="preserve">Высота орбиты, </w:t>
            </w:r>
            <w:proofErr w:type="gramStart"/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240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1395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011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686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sz w:val="28"/>
                <w:szCs w:val="28"/>
              </w:rPr>
              <w:t>1414</w:t>
            </w:r>
          </w:p>
        </w:tc>
        <w:tc>
          <w:tcPr>
            <w:tcW w:w="1184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sz w:val="28"/>
                <w:szCs w:val="28"/>
              </w:rPr>
              <w:t>1500</w:t>
            </w:r>
          </w:p>
        </w:tc>
      </w:tr>
      <w:tr w:rsidR="00137434" w:rsidRPr="00D34126" w:rsidTr="003B6EA2">
        <w:trPr>
          <w:jc w:val="center"/>
        </w:trPr>
        <w:tc>
          <w:tcPr>
            <w:tcW w:w="2518" w:type="dxa"/>
          </w:tcPr>
          <w:p w:rsidR="00137434" w:rsidRPr="00D34126" w:rsidRDefault="0013743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="FedraSerifBPro-Book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</w:rPr>
              <w:t xml:space="preserve">Максимальная наклонная дальность видимости </w:t>
            </w:r>
            <w:r w:rsidRPr="00D34126">
              <w:rPr>
                <w:rFonts w:ascii="Times New Roman" w:eastAsia="FedraSerifBPro-Book" w:hAnsi="Times New Roman" w:cs="Times New Roman"/>
                <w:spacing w:val="-20"/>
                <w:sz w:val="28"/>
                <w:szCs w:val="28"/>
              </w:rPr>
              <w:t>спутника</w:t>
            </w: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</w:rPr>
              <w:t xml:space="preserve"> </w:t>
            </w: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  <w:vertAlign w:val="subscript"/>
              </w:rPr>
              <w:t>сз</w:t>
            </w:r>
            <w:proofErr w:type="spellEnd"/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  <w:vertAlign w:val="subscript"/>
              </w:rPr>
              <w:t xml:space="preserve"> макс</w:t>
            </w: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240" w:type="dxa"/>
          </w:tcPr>
          <w:p w:rsidR="00137434" w:rsidRPr="00D34126" w:rsidRDefault="00137434" w:rsidP="00D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sz w:val="28"/>
                <w:szCs w:val="28"/>
              </w:rPr>
              <w:t>3000,55</w:t>
            </w:r>
          </w:p>
        </w:tc>
        <w:tc>
          <w:tcPr>
            <w:tcW w:w="1395" w:type="dxa"/>
          </w:tcPr>
          <w:p w:rsidR="00137434" w:rsidRPr="00D34126" w:rsidRDefault="00137434" w:rsidP="00D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sz w:val="28"/>
                <w:szCs w:val="28"/>
              </w:rPr>
              <w:t>3250,73</w:t>
            </w:r>
          </w:p>
        </w:tc>
        <w:tc>
          <w:tcPr>
            <w:tcW w:w="1011" w:type="dxa"/>
          </w:tcPr>
          <w:p w:rsidR="00137434" w:rsidRPr="00D34126" w:rsidRDefault="00137434" w:rsidP="00D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sz w:val="28"/>
                <w:szCs w:val="28"/>
              </w:rPr>
              <w:t>4453,63</w:t>
            </w:r>
          </w:p>
        </w:tc>
        <w:tc>
          <w:tcPr>
            <w:tcW w:w="1686" w:type="dxa"/>
          </w:tcPr>
          <w:p w:rsidR="00137434" w:rsidRPr="00D34126" w:rsidRDefault="00137434" w:rsidP="00D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sz w:val="28"/>
                <w:szCs w:val="28"/>
              </w:rPr>
              <w:t>4478,06</w:t>
            </w:r>
          </w:p>
        </w:tc>
        <w:tc>
          <w:tcPr>
            <w:tcW w:w="1184" w:type="dxa"/>
          </w:tcPr>
          <w:p w:rsidR="00137434" w:rsidRPr="00D34126" w:rsidRDefault="00137434" w:rsidP="00D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sz w:val="28"/>
                <w:szCs w:val="28"/>
              </w:rPr>
              <w:t>4626,19</w:t>
            </w:r>
          </w:p>
        </w:tc>
      </w:tr>
      <w:tr w:rsidR="005C6764" w:rsidRPr="00D34126" w:rsidTr="003B6EA2">
        <w:trPr>
          <w:jc w:val="center"/>
        </w:trPr>
        <w:tc>
          <w:tcPr>
            <w:tcW w:w="2518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</w:rPr>
              <w:t>τ</w:t>
            </w: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  <w:vertAlign w:val="subscript"/>
              </w:rPr>
              <w:t>1макс</w:t>
            </w: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</w:rPr>
              <w:t>, с</w:t>
            </w:r>
          </w:p>
        </w:tc>
        <w:tc>
          <w:tcPr>
            <w:tcW w:w="1240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sz w:val="28"/>
                <w:szCs w:val="28"/>
              </w:rPr>
              <w:t>0,00753</w:t>
            </w:r>
          </w:p>
        </w:tc>
        <w:tc>
          <w:tcPr>
            <w:tcW w:w="1395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sz w:val="28"/>
                <w:szCs w:val="28"/>
              </w:rPr>
              <w:t>0,00753</w:t>
            </w:r>
          </w:p>
        </w:tc>
        <w:tc>
          <w:tcPr>
            <w:tcW w:w="1011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sz w:val="28"/>
                <w:szCs w:val="28"/>
              </w:rPr>
              <w:t>0,00753</w:t>
            </w:r>
          </w:p>
        </w:tc>
        <w:tc>
          <w:tcPr>
            <w:tcW w:w="1686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sz w:val="28"/>
                <w:szCs w:val="28"/>
              </w:rPr>
              <w:t>0,00753</w:t>
            </w:r>
          </w:p>
        </w:tc>
        <w:tc>
          <w:tcPr>
            <w:tcW w:w="1184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Theme="minorEastAsia" w:hAnsi="Times New Roman" w:cs="Times New Roman"/>
                <w:sz w:val="28"/>
                <w:szCs w:val="28"/>
              </w:rPr>
              <w:t>0,00753</w:t>
            </w:r>
          </w:p>
        </w:tc>
      </w:tr>
      <w:tr w:rsidR="005C6764" w:rsidRPr="00D34126" w:rsidTr="003B6EA2">
        <w:trPr>
          <w:jc w:val="center"/>
        </w:trPr>
        <w:tc>
          <w:tcPr>
            <w:tcW w:w="2518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</w:rPr>
              <w:t>τ</w:t>
            </w: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  <w:vertAlign w:val="subscript"/>
              </w:rPr>
              <w:t>2макс</w:t>
            </w: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</w:rPr>
              <w:t>, с</w:t>
            </w:r>
          </w:p>
        </w:tc>
        <w:tc>
          <w:tcPr>
            <w:tcW w:w="1240" w:type="dxa"/>
            <w:vAlign w:val="center"/>
          </w:tcPr>
          <w:p w:rsidR="005C6764" w:rsidRPr="00D34126" w:rsidRDefault="005C6764" w:rsidP="00D341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0,01001</w:t>
            </w:r>
          </w:p>
        </w:tc>
        <w:tc>
          <w:tcPr>
            <w:tcW w:w="1395" w:type="dxa"/>
            <w:vAlign w:val="center"/>
          </w:tcPr>
          <w:p w:rsidR="005C6764" w:rsidRPr="00D34126" w:rsidRDefault="005C6764" w:rsidP="00D341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0,01084</w:t>
            </w:r>
          </w:p>
        </w:tc>
        <w:tc>
          <w:tcPr>
            <w:tcW w:w="1011" w:type="dxa"/>
            <w:vAlign w:val="center"/>
          </w:tcPr>
          <w:p w:rsidR="005C6764" w:rsidRPr="00D34126" w:rsidRDefault="005C6764" w:rsidP="00D341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0,01486</w:t>
            </w:r>
          </w:p>
        </w:tc>
        <w:tc>
          <w:tcPr>
            <w:tcW w:w="1686" w:type="dxa"/>
            <w:vAlign w:val="center"/>
          </w:tcPr>
          <w:p w:rsidR="005C6764" w:rsidRPr="00D34126" w:rsidRDefault="005C6764" w:rsidP="00D341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0,01494</w:t>
            </w:r>
          </w:p>
        </w:tc>
        <w:tc>
          <w:tcPr>
            <w:tcW w:w="1184" w:type="dxa"/>
            <w:vAlign w:val="center"/>
          </w:tcPr>
          <w:p w:rsidR="005C6764" w:rsidRPr="00D34126" w:rsidRDefault="005C6764" w:rsidP="00D341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0,01543</w:t>
            </w:r>
          </w:p>
        </w:tc>
      </w:tr>
      <w:tr w:rsidR="005C6764" w:rsidRPr="00D34126" w:rsidTr="003B6EA2">
        <w:trPr>
          <w:jc w:val="center"/>
        </w:trPr>
        <w:tc>
          <w:tcPr>
            <w:tcW w:w="2518" w:type="dxa"/>
          </w:tcPr>
          <w:p w:rsidR="005C6764" w:rsidRPr="00D34126" w:rsidRDefault="005C6764" w:rsidP="00D34126">
            <w:pPr>
              <w:autoSpaceDE w:val="0"/>
              <w:autoSpaceDN w:val="0"/>
              <w:adjustRightInd w:val="0"/>
              <w:jc w:val="center"/>
              <w:rPr>
                <w:rFonts w:ascii="Times New Roman" w:eastAsia="FedraSerifBPro-Book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</w:rPr>
              <w:t>τ</w:t>
            </w: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  <w:vertAlign w:val="subscript"/>
              </w:rPr>
              <w:t>3макс</w:t>
            </w:r>
            <w:r w:rsidRPr="00D34126">
              <w:rPr>
                <w:rFonts w:ascii="Times New Roman" w:eastAsia="FedraSerifBPro-Book" w:hAnsi="Times New Roman" w:cs="Times New Roman"/>
                <w:sz w:val="28"/>
                <w:szCs w:val="28"/>
              </w:rPr>
              <w:t>, с</w:t>
            </w:r>
          </w:p>
        </w:tc>
        <w:tc>
          <w:tcPr>
            <w:tcW w:w="1240" w:type="dxa"/>
            <w:vAlign w:val="center"/>
          </w:tcPr>
          <w:p w:rsidR="005C6764" w:rsidRPr="00D34126" w:rsidRDefault="005C6764" w:rsidP="00D341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1395" w:type="dxa"/>
            <w:vAlign w:val="center"/>
          </w:tcPr>
          <w:p w:rsidR="005C6764" w:rsidRPr="00D34126" w:rsidRDefault="005C6764" w:rsidP="00D341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1011" w:type="dxa"/>
            <w:vAlign w:val="center"/>
          </w:tcPr>
          <w:p w:rsidR="005C6764" w:rsidRPr="00D34126" w:rsidRDefault="005C6764" w:rsidP="00D341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1686" w:type="dxa"/>
            <w:vAlign w:val="center"/>
          </w:tcPr>
          <w:p w:rsidR="005C6764" w:rsidRPr="00D34126" w:rsidRDefault="005C6764" w:rsidP="00D341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1184" w:type="dxa"/>
            <w:vAlign w:val="center"/>
          </w:tcPr>
          <w:p w:rsidR="005C6764" w:rsidRPr="00D34126" w:rsidRDefault="005C6764" w:rsidP="00D341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0,020</w:t>
            </w:r>
          </w:p>
        </w:tc>
      </w:tr>
    </w:tbl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>Для расчётов используются данные о существующих и перспективных низкоорбитальных группировках спутников связи.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>Задержки передачи данных через низкоорбитальный спутник связи приемлемы для систем наблюдения и могут быть учтены  при расчётах трасс воздушных объектов в системах наблюдения. Пропускная способность системы связи обеспечивает наблюдение за воздушным движением над океанами.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>Предлагаемая система передачи полётных данных через спутники низкоорбитальной группировки связи позволяет: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>- получить данные для выработки оптимальных режимов станций ЗГРЛС;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- оценить состояние трассы радиосигнала ЗГРЛС и выбрать оптимальный режим работы станции, длительность импульсов и рабочих частот; 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>- корректировать работу ЗГРЛС повышая точность определения координат воздушных объектов;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>- идентифицировать воздушные объекты по степени опасности на большой дальности;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- передавать полётные данные с приемлемыми задержками для систем контроля воздушного пространства ЕС </w:t>
      </w:r>
      <w:proofErr w:type="spellStart"/>
      <w:r w:rsidRPr="00D34126">
        <w:rPr>
          <w:rFonts w:ascii="Times New Roman" w:eastAsiaTheme="minorEastAsia" w:hAnsi="Times New Roman" w:cs="Times New Roman"/>
          <w:sz w:val="28"/>
          <w:szCs w:val="28"/>
        </w:rPr>
        <w:t>ОрВД</w:t>
      </w:r>
      <w:proofErr w:type="spellEnd"/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 и ВКС;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>- получать полётную информацию от воздушных судов независимо от зарубежных систем наблюдения воздушного пространства и систем связи;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- расширить зону </w:t>
      </w:r>
      <w:proofErr w:type="gramStart"/>
      <w:r w:rsidRPr="00D34126">
        <w:rPr>
          <w:rFonts w:ascii="Times New Roman" w:eastAsiaTheme="minorEastAsia" w:hAnsi="Times New Roman" w:cs="Times New Roman"/>
          <w:sz w:val="28"/>
          <w:szCs w:val="28"/>
        </w:rPr>
        <w:t>контроля за</w:t>
      </w:r>
      <w:proofErr w:type="gramEnd"/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 коммерческими воздушными судами на дальность до 4500 км, а при использовании </w:t>
      </w:r>
      <w:proofErr w:type="spellStart"/>
      <w:r w:rsidRPr="00D34126">
        <w:rPr>
          <w:rFonts w:ascii="Times New Roman" w:eastAsiaTheme="minorEastAsia" w:hAnsi="Times New Roman" w:cs="Times New Roman"/>
          <w:sz w:val="28"/>
          <w:szCs w:val="28"/>
        </w:rPr>
        <w:t>межспутниковой</w:t>
      </w:r>
      <w:proofErr w:type="spellEnd"/>
      <w:r w:rsidRPr="00D34126">
        <w:rPr>
          <w:rFonts w:ascii="Times New Roman" w:eastAsiaTheme="minorEastAsia" w:hAnsi="Times New Roman" w:cs="Times New Roman"/>
          <w:sz w:val="28"/>
          <w:szCs w:val="28"/>
        </w:rPr>
        <w:t xml:space="preserve"> связи глобально.</w:t>
      </w:r>
    </w:p>
    <w:p w:rsidR="004A378E" w:rsidRPr="00D34126" w:rsidRDefault="004A378E" w:rsidP="00D34126">
      <w:pPr>
        <w:tabs>
          <w:tab w:val="left" w:pos="142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C6764" w:rsidRPr="00D34126" w:rsidRDefault="004A378E" w:rsidP="00D34126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126"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 w:rsidR="005C6764" w:rsidRPr="00D3412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C6764" w:rsidRPr="00D34126" w:rsidRDefault="005C6764" w:rsidP="00D34126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4126">
        <w:rPr>
          <w:rFonts w:ascii="Times New Roman" w:hAnsi="Times New Roman"/>
          <w:sz w:val="28"/>
          <w:szCs w:val="28"/>
        </w:rPr>
        <w:t xml:space="preserve">Сухов В.В. Новые методы юстировки радиолокационных станций с использованием современных технологий спутниковой навигации и автоматического зависимого наблюдения / В.В. Сухов, В.С. </w:t>
      </w:r>
      <w:proofErr w:type="spellStart"/>
      <w:r w:rsidRPr="00D34126">
        <w:rPr>
          <w:rFonts w:ascii="Times New Roman" w:hAnsi="Times New Roman"/>
          <w:sz w:val="28"/>
          <w:szCs w:val="28"/>
        </w:rPr>
        <w:t>Савватеев</w:t>
      </w:r>
      <w:proofErr w:type="spellEnd"/>
      <w:r w:rsidRPr="00D34126">
        <w:rPr>
          <w:rFonts w:ascii="Times New Roman" w:hAnsi="Times New Roman"/>
          <w:sz w:val="28"/>
          <w:szCs w:val="28"/>
        </w:rPr>
        <w:t xml:space="preserve">. - Успехи современной радиоэлектроники 2013. №11 29-33 </w:t>
      </w:r>
      <w:proofErr w:type="gramStart"/>
      <w:r w:rsidRPr="00D34126">
        <w:rPr>
          <w:rFonts w:ascii="Times New Roman" w:hAnsi="Times New Roman"/>
          <w:sz w:val="28"/>
          <w:szCs w:val="28"/>
        </w:rPr>
        <w:t>с</w:t>
      </w:r>
      <w:proofErr w:type="gramEnd"/>
      <w:r w:rsidRPr="00D34126">
        <w:rPr>
          <w:rFonts w:ascii="Times New Roman" w:hAnsi="Times New Roman"/>
          <w:sz w:val="28"/>
          <w:szCs w:val="28"/>
        </w:rPr>
        <w:t>.</w:t>
      </w:r>
    </w:p>
    <w:p w:rsidR="005C6764" w:rsidRPr="00D34126" w:rsidRDefault="005C6764" w:rsidP="00D34126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4126">
        <w:rPr>
          <w:rFonts w:ascii="Times New Roman" w:hAnsi="Times New Roman"/>
          <w:sz w:val="28"/>
          <w:szCs w:val="28"/>
        </w:rPr>
        <w:t xml:space="preserve">Сухов В.В. Вопросы использования современных технологий автоматического зависимого наблюдения и </w:t>
      </w:r>
      <w:proofErr w:type="spellStart"/>
      <w:r w:rsidRPr="00D34126">
        <w:rPr>
          <w:rFonts w:ascii="Times New Roman" w:hAnsi="Times New Roman"/>
          <w:sz w:val="28"/>
          <w:szCs w:val="28"/>
        </w:rPr>
        <w:t>мультилатерации</w:t>
      </w:r>
      <w:proofErr w:type="spellEnd"/>
      <w:r w:rsidRPr="00D34126">
        <w:rPr>
          <w:rFonts w:ascii="Times New Roman" w:hAnsi="Times New Roman"/>
          <w:sz w:val="28"/>
          <w:szCs w:val="28"/>
        </w:rPr>
        <w:t xml:space="preserve"> в системах ВКО и УВД / В.В. Сухов, В.С. </w:t>
      </w:r>
      <w:proofErr w:type="spellStart"/>
      <w:r w:rsidRPr="00D34126">
        <w:rPr>
          <w:rFonts w:ascii="Times New Roman" w:hAnsi="Times New Roman"/>
          <w:sz w:val="28"/>
          <w:szCs w:val="28"/>
        </w:rPr>
        <w:t>Савватеев</w:t>
      </w:r>
      <w:proofErr w:type="spellEnd"/>
      <w:r w:rsidRPr="00D34126">
        <w:rPr>
          <w:rFonts w:ascii="Times New Roman" w:hAnsi="Times New Roman"/>
          <w:sz w:val="28"/>
          <w:szCs w:val="28"/>
        </w:rPr>
        <w:t>, - Вестник ВКО</w:t>
      </w:r>
    </w:p>
    <w:p w:rsidR="005C6764" w:rsidRPr="00D34126" w:rsidRDefault="005C6764" w:rsidP="00D34126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4126">
        <w:rPr>
          <w:rFonts w:ascii="Times New Roman" w:hAnsi="Times New Roman"/>
          <w:sz w:val="28"/>
          <w:szCs w:val="28"/>
        </w:rPr>
        <w:t xml:space="preserve">Сухов В.В. Технология спутниковой навигации в системе контроля использования воздушного пространства / В.В. Сухов. - Труды Х Российской научно-технической конференции «Новые информационные технологии в системах связи и управления» - Калуга: Изд-во ООО «Ноосфера» - 2011,- 146-150 </w:t>
      </w:r>
      <w:proofErr w:type="gramStart"/>
      <w:r w:rsidRPr="00D34126">
        <w:rPr>
          <w:rFonts w:ascii="Times New Roman" w:hAnsi="Times New Roman"/>
          <w:sz w:val="28"/>
          <w:szCs w:val="28"/>
        </w:rPr>
        <w:t>с</w:t>
      </w:r>
      <w:proofErr w:type="gramEnd"/>
      <w:r w:rsidRPr="00D34126">
        <w:rPr>
          <w:rFonts w:ascii="Times New Roman" w:hAnsi="Times New Roman"/>
          <w:sz w:val="28"/>
          <w:szCs w:val="28"/>
        </w:rPr>
        <w:t xml:space="preserve">. </w:t>
      </w:r>
    </w:p>
    <w:p w:rsidR="005C6764" w:rsidRPr="00D34126" w:rsidRDefault="005C6764" w:rsidP="00D34126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4126">
        <w:rPr>
          <w:rFonts w:ascii="Times New Roman" w:hAnsi="Times New Roman"/>
          <w:sz w:val="28"/>
          <w:szCs w:val="28"/>
        </w:rPr>
        <w:t>Сухов В.В. Метод верификации сообщений в системе автоматического зависимого наблюдения Инновационные подходы при создании военной техники / В.В. Сухов; Под  ред. П.А. Созинова – М.: Радиотехника, 2012. – с. 130-136</w:t>
      </w:r>
    </w:p>
    <w:p w:rsidR="005C6764" w:rsidRPr="00D34126" w:rsidRDefault="005C6764" w:rsidP="00D341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744E" w:rsidRPr="00D34126" w:rsidRDefault="00C3744E" w:rsidP="00D34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3744E" w:rsidRPr="00D34126" w:rsidSect="0020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edraSerifBPro-Book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E333B"/>
    <w:multiLevelType w:val="hybridMultilevel"/>
    <w:tmpl w:val="4FC0D0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3F96"/>
    <w:rsid w:val="00022A11"/>
    <w:rsid w:val="00052C93"/>
    <w:rsid w:val="00094221"/>
    <w:rsid w:val="00094881"/>
    <w:rsid w:val="000976E9"/>
    <w:rsid w:val="000A7E3F"/>
    <w:rsid w:val="000B71A3"/>
    <w:rsid w:val="000C2EF8"/>
    <w:rsid w:val="000F2F67"/>
    <w:rsid w:val="00122C47"/>
    <w:rsid w:val="00131BF2"/>
    <w:rsid w:val="00137434"/>
    <w:rsid w:val="0016418C"/>
    <w:rsid w:val="00165E38"/>
    <w:rsid w:val="00175082"/>
    <w:rsid w:val="001B19A1"/>
    <w:rsid w:val="001D1158"/>
    <w:rsid w:val="001E63A5"/>
    <w:rsid w:val="001F743F"/>
    <w:rsid w:val="00203283"/>
    <w:rsid w:val="00235783"/>
    <w:rsid w:val="00242943"/>
    <w:rsid w:val="00267593"/>
    <w:rsid w:val="00285B37"/>
    <w:rsid w:val="00286FE2"/>
    <w:rsid w:val="0029550C"/>
    <w:rsid w:val="002F367D"/>
    <w:rsid w:val="00311E49"/>
    <w:rsid w:val="00396E53"/>
    <w:rsid w:val="003B6EA2"/>
    <w:rsid w:val="00423217"/>
    <w:rsid w:val="004272D0"/>
    <w:rsid w:val="004503EA"/>
    <w:rsid w:val="00466DDE"/>
    <w:rsid w:val="004A378E"/>
    <w:rsid w:val="004B6095"/>
    <w:rsid w:val="005140BC"/>
    <w:rsid w:val="00525590"/>
    <w:rsid w:val="00534C1E"/>
    <w:rsid w:val="00540F84"/>
    <w:rsid w:val="005B7E5B"/>
    <w:rsid w:val="005C1A90"/>
    <w:rsid w:val="005C6764"/>
    <w:rsid w:val="005D2C41"/>
    <w:rsid w:val="006242B5"/>
    <w:rsid w:val="006375C3"/>
    <w:rsid w:val="00642E9F"/>
    <w:rsid w:val="006B065C"/>
    <w:rsid w:val="006D40F3"/>
    <w:rsid w:val="006D437E"/>
    <w:rsid w:val="006F4375"/>
    <w:rsid w:val="00701AED"/>
    <w:rsid w:val="00707594"/>
    <w:rsid w:val="0071614C"/>
    <w:rsid w:val="00721632"/>
    <w:rsid w:val="00737865"/>
    <w:rsid w:val="007802D0"/>
    <w:rsid w:val="00785ADB"/>
    <w:rsid w:val="00796771"/>
    <w:rsid w:val="007C582D"/>
    <w:rsid w:val="007D0EC7"/>
    <w:rsid w:val="007F2DAF"/>
    <w:rsid w:val="00881893"/>
    <w:rsid w:val="0088205B"/>
    <w:rsid w:val="008B4239"/>
    <w:rsid w:val="008C0297"/>
    <w:rsid w:val="009403C2"/>
    <w:rsid w:val="009508D7"/>
    <w:rsid w:val="009569E6"/>
    <w:rsid w:val="009849AB"/>
    <w:rsid w:val="009E553F"/>
    <w:rsid w:val="009F3E7F"/>
    <w:rsid w:val="00A13384"/>
    <w:rsid w:val="00A2745A"/>
    <w:rsid w:val="00A55330"/>
    <w:rsid w:val="00A60C3C"/>
    <w:rsid w:val="00A61CAA"/>
    <w:rsid w:val="00A66CC0"/>
    <w:rsid w:val="00A67810"/>
    <w:rsid w:val="00A70AC9"/>
    <w:rsid w:val="00AB3E2B"/>
    <w:rsid w:val="00AE60CC"/>
    <w:rsid w:val="00B60A69"/>
    <w:rsid w:val="00B615F9"/>
    <w:rsid w:val="00B932CD"/>
    <w:rsid w:val="00BA289A"/>
    <w:rsid w:val="00BC56FB"/>
    <w:rsid w:val="00BD39DB"/>
    <w:rsid w:val="00BD508B"/>
    <w:rsid w:val="00BF39D1"/>
    <w:rsid w:val="00C12F93"/>
    <w:rsid w:val="00C3744E"/>
    <w:rsid w:val="00C50EFD"/>
    <w:rsid w:val="00C776E6"/>
    <w:rsid w:val="00C8252C"/>
    <w:rsid w:val="00CA782E"/>
    <w:rsid w:val="00CC7052"/>
    <w:rsid w:val="00CF6352"/>
    <w:rsid w:val="00D34126"/>
    <w:rsid w:val="00D57F1E"/>
    <w:rsid w:val="00D73F96"/>
    <w:rsid w:val="00DD4291"/>
    <w:rsid w:val="00DD5426"/>
    <w:rsid w:val="00DD6016"/>
    <w:rsid w:val="00DD6A82"/>
    <w:rsid w:val="00DE1921"/>
    <w:rsid w:val="00E00874"/>
    <w:rsid w:val="00E12F0B"/>
    <w:rsid w:val="00E53145"/>
    <w:rsid w:val="00E96FD5"/>
    <w:rsid w:val="00EB00B2"/>
    <w:rsid w:val="00F160F2"/>
    <w:rsid w:val="00F27DE6"/>
    <w:rsid w:val="00F643E1"/>
    <w:rsid w:val="00F74F47"/>
    <w:rsid w:val="00F756F8"/>
    <w:rsid w:val="00F85F7F"/>
    <w:rsid w:val="00FA05A5"/>
    <w:rsid w:val="00FA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6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CC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6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66C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559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6764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1595</Words>
  <Characters>9098</Characters>
  <Application>Microsoft Office Word</Application>
  <DocSecurity>0</DocSecurity>
  <Lines>75</Lines>
  <Paragraphs>21</Paragraphs>
  <ScaleCrop>false</ScaleCrop>
  <Company>ALMAZ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 Вячеслав Витальевич</dc:creator>
  <cp:keywords/>
  <dc:description/>
  <cp:lastModifiedBy>User</cp:lastModifiedBy>
  <cp:revision>2</cp:revision>
  <dcterms:created xsi:type="dcterms:W3CDTF">2016-01-28T13:19:00Z</dcterms:created>
  <dcterms:modified xsi:type="dcterms:W3CDTF">2016-01-28T13:19:00Z</dcterms:modified>
</cp:coreProperties>
</file>