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B06" w:rsidRDefault="00264212" w:rsidP="0026421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212">
        <w:rPr>
          <w:rFonts w:ascii="Times New Roman" w:hAnsi="Times New Roman" w:cs="Times New Roman"/>
          <w:b/>
          <w:sz w:val="28"/>
          <w:szCs w:val="28"/>
        </w:rPr>
        <w:t>BC/NW 2021№ 1 (37):</w:t>
      </w:r>
      <w:r w:rsidR="00032961">
        <w:rPr>
          <w:rFonts w:ascii="Times New Roman" w:hAnsi="Times New Roman" w:cs="Times New Roman"/>
          <w:b/>
          <w:sz w:val="28"/>
          <w:szCs w:val="28"/>
        </w:rPr>
        <w:t>4.2</w:t>
      </w:r>
      <w:r w:rsidRPr="0026421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64212" w:rsidRDefault="00B17C1A" w:rsidP="00B17C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C1A">
        <w:rPr>
          <w:rFonts w:ascii="Times New Roman" w:hAnsi="Times New Roman" w:cs="Times New Roman"/>
          <w:b/>
          <w:sz w:val="28"/>
          <w:szCs w:val="28"/>
        </w:rPr>
        <w:t>ИССЛЕДОВАНИЕ СПОСОБОВ СОКРАЩЕНИЯ ВРЕМЕНИ РАЗВЕРТЫВАНИЯ И ВОССТАНОВЛЕНИЯ ПОСЛЕ СБОЯ ВИРТУАЛЬНЫХ СТЕНДОВ В ОБЛАКЕ БАНКА</w:t>
      </w:r>
    </w:p>
    <w:p w:rsidR="00264212" w:rsidRDefault="00B17C1A" w:rsidP="00B17C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17C1A">
        <w:rPr>
          <w:rFonts w:ascii="Times New Roman" w:hAnsi="Times New Roman" w:cs="Times New Roman"/>
          <w:b/>
          <w:sz w:val="28"/>
          <w:szCs w:val="28"/>
        </w:rPr>
        <w:t>Данилин Д.Г. Коняева В.В.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bookmarkStart w:id="0" w:name="_Toc43112599"/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</w:t>
      </w:r>
      <w:bookmarkEnd w:id="0"/>
      <w:r w:rsidRPr="00B17C1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Введение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В данной статье исследуется время переходного процесса при появлении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отказов на уровне доступа, распределения и ядра корпоративной сети 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для протоколов </w:t>
      </w:r>
      <w:r w:rsidRPr="00B17C1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US" w:eastAsia="ru-RU"/>
        </w:rPr>
        <w:t>OSPF</w:t>
      </w:r>
      <w:r w:rsidRPr="00B17C1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и </w:t>
      </w:r>
      <w:r w:rsidRPr="00B17C1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US" w:eastAsia="ru-RU"/>
        </w:rPr>
        <w:t>EIGRP</w:t>
      </w:r>
      <w:r w:rsidRPr="00B17C1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.</w:t>
      </w:r>
    </w:p>
    <w:p w:rsidR="00B17C1A" w:rsidRPr="00B17C1A" w:rsidRDefault="00B17C1A" w:rsidP="00B17C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Переходной процесс – процесс соглашения между маршрутизаторами сети относительно оптимальных маршрутов для передачи данных. </w:t>
      </w:r>
    </w:p>
    <w:p w:rsidR="00B17C1A" w:rsidRPr="00B17C1A" w:rsidRDefault="00B17C1A" w:rsidP="00B17C1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b/>
          <w:bCs/>
          <w:iCs/>
          <w:noProof/>
          <w:color w:val="262626"/>
          <w:sz w:val="28"/>
          <w:szCs w:val="28"/>
          <w:u w:val="single"/>
          <w:lang w:eastAsia="ru-RU"/>
        </w:rPr>
      </w:pPr>
      <w:r w:rsidRPr="00B17C1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Время переходного процесса  – время между выходом из строя одного узла или  линии связи и моментом, когда  таблицы маршрутизации всех маршрутизаторов будут перестроены в соответствии с новой топологией, если отказ в сети привел к изменению таковой.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tab/>
      </w:r>
      <w:r w:rsidRPr="00B17C1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Переходной процесс в сетях передачи данных непосредственно связан с возникновением сетевого отказа.</w:t>
      </w:r>
    </w:p>
    <w:p w:rsidR="00B17C1A" w:rsidRPr="00B17C1A" w:rsidRDefault="00B17C1A" w:rsidP="00B17C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Несмотря на то, что выпускаемое в настоящее время сетевое активное оборудование считается высоконадежным элементом, отказы в сетях не являются редкими случаями и могут быть обусловлены разнообразными факторами, в частности:</w:t>
      </w:r>
    </w:p>
    <w:p w:rsidR="00B17C1A" w:rsidRPr="00B17C1A" w:rsidRDefault="00B17C1A" w:rsidP="00B17C1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естественным старением аппаратной части маршрутизаторов;</w:t>
      </w:r>
    </w:p>
    <w:p w:rsidR="00B17C1A" w:rsidRPr="00B17C1A" w:rsidRDefault="00B17C1A" w:rsidP="00B17C1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сбоями в программном обеспечении</w:t>
      </w: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  <w:lang w:val="en-US"/>
        </w:rPr>
        <w:t>;</w:t>
      </w:r>
    </w:p>
    <w:p w:rsidR="00B17C1A" w:rsidRPr="00B17C1A" w:rsidRDefault="00B17C1A" w:rsidP="00B17C1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сбоями в электропитании</w:t>
      </w: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  <w:lang w:val="en-US"/>
        </w:rPr>
        <w:t>;</w:t>
      </w:r>
    </w:p>
    <w:p w:rsidR="00B17C1A" w:rsidRPr="00B17C1A" w:rsidRDefault="00B17C1A" w:rsidP="00B17C1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некорректным обслуживанием технического персонала</w:t>
      </w: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  <w:lang w:val="en-US"/>
        </w:rPr>
        <w:t>;</w:t>
      </w:r>
    </w:p>
    <w:p w:rsidR="00B17C1A" w:rsidRPr="00B17C1A" w:rsidRDefault="00B17C1A" w:rsidP="00B17C1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сбоями оптического оборудования</w:t>
      </w: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  <w:lang w:val="en-US"/>
        </w:rPr>
        <w:t>;</w:t>
      </w:r>
    </w:p>
    <w:p w:rsidR="00B17C1A" w:rsidRPr="00B17C1A" w:rsidRDefault="00B17C1A" w:rsidP="00B17C1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обрывом кабеля.</w:t>
      </w:r>
    </w:p>
    <w:p w:rsidR="00B17C1A" w:rsidRPr="00B17C1A" w:rsidRDefault="00B17C1A" w:rsidP="00B17C1A">
      <w:pPr>
        <w:spacing w:after="0" w:line="240" w:lineRule="auto"/>
        <w:ind w:firstLine="567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Прекращение информационного обмена на несколько секунд, возникающее в результате сетевого отказа, критично, так как приводит к потере большого количества данных.</w:t>
      </w:r>
    </w:p>
    <w:p w:rsidR="00B17C1A" w:rsidRPr="00B17C1A" w:rsidRDefault="00B17C1A" w:rsidP="00B17C1A">
      <w:pPr>
        <w:spacing w:after="0" w:line="240" w:lineRule="auto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 xml:space="preserve">       Одним из важнейших понятий при анализе переходного процесса сети является понятие отказа.</w:t>
      </w:r>
    </w:p>
    <w:p w:rsidR="00B17C1A" w:rsidRPr="00B17C1A" w:rsidRDefault="00B17C1A" w:rsidP="00B17C1A">
      <w:pPr>
        <w:spacing w:after="0" w:line="240" w:lineRule="auto"/>
        <w:ind w:firstLine="567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Отказ объекта или его элемента в общем случае можно определить как событие, заключающееся в нарушении работоспособного состояния объекта или его элемента.</w:t>
      </w:r>
    </w:p>
    <w:p w:rsidR="00B17C1A" w:rsidRPr="00B17C1A" w:rsidRDefault="00B17C1A" w:rsidP="00B17C1A">
      <w:pPr>
        <w:spacing w:after="0" w:line="240" w:lineRule="auto"/>
        <w:ind w:firstLine="567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Термин «отказ» можно разделить на относящиеся к нему характеристики, например, постепенный или внезапный отказ. Причинами постепенного отказа могут быть систематические нарушения условий эксплуатации (нарушение температурного режима или уровня влажности в помещении). Внезапные отказы обусловлены резкими, непредсказуемыми изменениями параметров устройства. Причиной такого отказа может служить резкий «скачок» напряжения или нарушения, связанные с электропитанием объекта.</w:t>
      </w:r>
    </w:p>
    <w:p w:rsidR="00B17C1A" w:rsidRPr="00B17C1A" w:rsidRDefault="00B17C1A" w:rsidP="00B17C1A">
      <w:pPr>
        <w:spacing w:after="0" w:line="240" w:lineRule="auto"/>
        <w:ind w:firstLine="567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lastRenderedPageBreak/>
        <w:t>Так же отказы можно классифицировать, как случайные или систематические, зависимые или независимые. Раскроем детально вышеобозначенные определения.</w:t>
      </w:r>
    </w:p>
    <w:p w:rsidR="00B17C1A" w:rsidRPr="00B17C1A" w:rsidRDefault="00B17C1A" w:rsidP="00B17C1A">
      <w:pPr>
        <w:spacing w:after="0" w:line="240" w:lineRule="auto"/>
        <w:ind w:firstLine="567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Систематические отказы обусловлены разными причинами, в числе которых можно выделить некорректные действия обслуживающего персонала. Случайные отказы связаны с непредусмотренными перегрузками объекта, сбоями системы управления или программного обеспечения.</w:t>
      </w:r>
    </w:p>
    <w:p w:rsidR="00B17C1A" w:rsidRPr="00B17C1A" w:rsidRDefault="00B17C1A" w:rsidP="00B17C1A">
      <w:pPr>
        <w:spacing w:after="0" w:line="240" w:lineRule="auto"/>
        <w:ind w:firstLine="567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 xml:space="preserve">В случае, когда отказ одного элемента ведет к выходу из строя других объектов, отказ можно классифицировать, как зависимый. </w:t>
      </w: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ab/>
        <w:t>Напротив, если выход из строя одного устройства или его элемента не влияет на работоспособность других устройств сети, то отказ такого типа можно назвать независимым.</w:t>
      </w:r>
    </w:p>
    <w:p w:rsidR="00B17C1A" w:rsidRPr="00B17C1A" w:rsidRDefault="00B17C1A" w:rsidP="00B17C1A">
      <w:pPr>
        <w:spacing w:after="0" w:line="240" w:lineRule="auto"/>
        <w:ind w:firstLine="567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Кроме того, отказы можно классифицировать по характеру проявления на скрытые и явные.</w:t>
      </w:r>
    </w:p>
    <w:p w:rsidR="00B17C1A" w:rsidRPr="00B17C1A" w:rsidRDefault="00B17C1A" w:rsidP="00B17C1A">
      <w:pPr>
        <w:spacing w:after="0" w:line="240" w:lineRule="auto"/>
        <w:ind w:firstLine="567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Скрытым отказом называется такой, который возможно определить при проведении различных видов профилактических работ или во время проведения тестового контроля работоспособности сети и ее элементов.</w:t>
      </w:r>
    </w:p>
    <w:p w:rsidR="00B17C1A" w:rsidRPr="00B17C1A" w:rsidRDefault="00B17C1A" w:rsidP="00B17C1A">
      <w:pPr>
        <w:spacing w:after="0" w:line="240" w:lineRule="auto"/>
        <w:ind w:firstLine="567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Явный отказ возможно обнаружить во время непрерывного мониторинга состояния сети и ее компонентов средствами систем мониторинга.</w:t>
      </w:r>
    </w:p>
    <w:p w:rsidR="00B17C1A" w:rsidRPr="00B17C1A" w:rsidRDefault="00B17C1A" w:rsidP="00B17C1A">
      <w:pPr>
        <w:spacing w:after="0" w:line="240" w:lineRule="auto"/>
        <w:ind w:firstLine="567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Классификацию возможно продолжить понятийными фиксациями полного и частичного отказа объекта связи и его элементов, находящихся под контролем.</w:t>
      </w:r>
    </w:p>
    <w:p w:rsidR="00B17C1A" w:rsidRPr="00B17C1A" w:rsidRDefault="00B17C1A" w:rsidP="00B17C1A">
      <w:pPr>
        <w:spacing w:after="0" w:line="240" w:lineRule="auto"/>
        <w:ind w:firstLine="567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При возникновении частичного отказа работоспособность объекта может быть сохранена с возможной потерей нескольких параметров надежности, что может привести к снижению уровня производительности сети.</w:t>
      </w:r>
    </w:p>
    <w:p w:rsidR="00B17C1A" w:rsidRPr="00B17C1A" w:rsidRDefault="00B17C1A" w:rsidP="00B17C1A">
      <w:pPr>
        <w:spacing w:after="0" w:line="240" w:lineRule="auto"/>
        <w:ind w:firstLine="567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Если речь идет о полном отказе объекта, то его применение невозможно до проведения работ по восстановлению полной работоспособности.</w:t>
      </w:r>
    </w:p>
    <w:p w:rsidR="00B17C1A" w:rsidRPr="00B17C1A" w:rsidRDefault="00B17C1A" w:rsidP="00B17C1A">
      <w:pPr>
        <w:spacing w:after="0" w:line="240" w:lineRule="auto"/>
        <w:ind w:firstLine="567"/>
        <w:contextualSpacing/>
        <w:jc w:val="both"/>
        <w:rPr>
          <w:rFonts w:ascii="Times New Roman" w:eastAsia="Cambria" w:hAnsi="Times New Roman" w:cs="Times New Roman"/>
          <w:noProof/>
          <w:color w:val="000000"/>
          <w:sz w:val="28"/>
          <w:szCs w:val="28"/>
        </w:rPr>
      </w:pPr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 xml:space="preserve">Процесс восстановления объекта после выхода из строя сводится к обнаружению неисправного элемента и его блокировки. </w:t>
      </w:r>
      <w:proofErr w:type="gramStart"/>
      <w:r w:rsidRPr="00B17C1A">
        <w:rPr>
          <w:rFonts w:ascii="Times New Roman" w:eastAsia="Cambria" w:hAnsi="Times New Roman" w:cs="Times New Roman"/>
          <w:noProof/>
          <w:color w:val="000000"/>
          <w:sz w:val="28"/>
          <w:szCs w:val="28"/>
        </w:rPr>
        <w:t>Очевидно, что объекты можно разделить на восстанавливаемые, в случае когда объекту возможно вернуть рабочее состояние, и невосстанавливаемые, если проведение работ по восстановлению невозможно.</w:t>
      </w:r>
      <w:proofErr w:type="gramEnd"/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17C1A">
        <w:rPr>
          <w:rFonts w:ascii="Times New Roman" w:eastAsia="Calibri" w:hAnsi="Times New Roman" w:cs="Times New Roman"/>
          <w:sz w:val="28"/>
          <w:szCs w:val="28"/>
        </w:rPr>
        <w:t xml:space="preserve">        В статье предполагается, что в сети могут возникать только отказы, которые порождают одновременно не более одного переходного процесса.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17C1A" w:rsidRPr="00B17C1A" w:rsidRDefault="00B17C1A" w:rsidP="00B17C1A">
      <w:pPr>
        <w:keepNext/>
        <w:spacing w:before="240" w:after="0" w:line="240" w:lineRule="auto"/>
        <w:outlineLvl w:val="1"/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</w:pPr>
      <w:bookmarkStart w:id="1" w:name="_Toc43112618"/>
      <w:r w:rsidRPr="00B17C1A">
        <w:rPr>
          <w:rFonts w:ascii="Times New Roman" w:eastAsia="Arial" w:hAnsi="Times New Roman" w:cs="Arial"/>
          <w:b/>
          <w:bCs/>
          <w:iCs/>
          <w:sz w:val="28"/>
          <w:szCs w:val="28"/>
          <w:lang w:eastAsia="ru-RU"/>
        </w:rPr>
        <w:t xml:space="preserve">                    </w:t>
      </w:r>
      <w:r w:rsidRPr="00B17C1A">
        <w:rPr>
          <w:rFonts w:ascii="Times New Roman" w:eastAsia="Arial" w:hAnsi="Times New Roman" w:cs="Arial"/>
          <w:b/>
          <w:bCs/>
          <w:iCs/>
          <w:noProof/>
          <w:sz w:val="28"/>
          <w:szCs w:val="28"/>
          <w:lang w:eastAsia="ru-RU"/>
        </w:rPr>
        <w:t xml:space="preserve"> Модель корпоративной сети</w:t>
      </w:r>
      <w:bookmarkEnd w:id="1"/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ab/>
        <w:t>После анализа ряда существующих и эксплуатируемых сетей для исследования была выбрана корпоративная сеть передачи данных, изображенная на рис.1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noProof/>
          <w:sz w:val="28"/>
          <w:szCs w:val="24"/>
          <w:lang w:eastAsia="ru-RU"/>
        </w:rPr>
        <w:lastRenderedPageBreak/>
        <w:drawing>
          <wp:inline distT="0" distB="0" distL="0" distR="0" wp14:anchorId="740DA581" wp14:editId="4A933821">
            <wp:extent cx="6299835" cy="3915410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сети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17C1A">
        <w:rPr>
          <w:rFonts w:ascii="Times New Roman" w:eastAsia="Calibri" w:hAnsi="Times New Roman" w:cs="Times New Roman"/>
          <w:sz w:val="24"/>
          <w:szCs w:val="24"/>
          <w:lang w:eastAsia="ru-RU"/>
        </w:rPr>
        <w:t>Рис.1 Структура территориально-распределенной сети</w:t>
      </w:r>
    </w:p>
    <w:p w:rsidR="00B17C1A" w:rsidRPr="00B17C1A" w:rsidRDefault="00B17C1A" w:rsidP="00B17C1A">
      <w:pPr>
        <w:spacing w:after="0" w:line="240" w:lineRule="auto"/>
        <w:ind w:firstLine="708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Технология </w:t>
      </w:r>
      <w:r w:rsidRPr="00B17C1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STM</w:t>
      </w: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-4 будет использоваться для построения магистрального кольца. В качестве среды передачи данных для связующей магистрали выбрано </w:t>
      </w:r>
      <w:proofErr w:type="spellStart"/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>одномодовое</w:t>
      </w:r>
      <w:proofErr w:type="spellEnd"/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оптоволокно с возможностью дальности передачи до 120 км. Технология</w:t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 xml:space="preserve"> </w:t>
      </w:r>
      <w:proofErr w:type="spellStart"/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Gigabit</w:t>
      </w:r>
      <w:proofErr w:type="spellEnd"/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 xml:space="preserve"> </w:t>
      </w:r>
      <w:proofErr w:type="spellStart"/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Ethernet</w:t>
      </w:r>
      <w:proofErr w:type="spellEnd"/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, реализованная на витой паре категории 6, будет применяться для связи уровня распределения и доступа.</w:t>
      </w: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Технология </w:t>
      </w:r>
      <w:r w:rsidRPr="00B17C1A">
        <w:rPr>
          <w:rFonts w:ascii="Times New Roman" w:eastAsia="Calibri" w:hAnsi="Times New Roman" w:cs="Arial"/>
          <w:bCs/>
          <w:color w:val="000000"/>
          <w:sz w:val="28"/>
          <w:szCs w:val="28"/>
          <w:lang w:val="en-US" w:eastAsia="ru-RU"/>
        </w:rPr>
        <w:t>Fast</w:t>
      </w:r>
      <w:r w:rsidRPr="00B17C1A">
        <w:rPr>
          <w:rFonts w:ascii="Times New Roman" w:eastAsia="Calibri" w:hAnsi="Times New Roman" w:cs="Arial"/>
          <w:bCs/>
          <w:color w:val="000000"/>
          <w:sz w:val="28"/>
          <w:szCs w:val="28"/>
          <w:lang w:eastAsia="ru-RU"/>
        </w:rPr>
        <w:t xml:space="preserve"> </w:t>
      </w:r>
      <w:r w:rsidRPr="00B17C1A">
        <w:rPr>
          <w:rFonts w:ascii="Times New Roman" w:eastAsia="Calibri" w:hAnsi="Times New Roman" w:cs="Arial"/>
          <w:bCs/>
          <w:color w:val="000000"/>
          <w:sz w:val="28"/>
          <w:szCs w:val="28"/>
          <w:lang w:val="en-US" w:eastAsia="ru-RU"/>
        </w:rPr>
        <w:t>Ethernet</w:t>
      </w:r>
      <w:r w:rsidRPr="00B17C1A">
        <w:rPr>
          <w:rFonts w:ascii="Times New Roman" w:eastAsia="Calibri" w:hAnsi="Times New Roman" w:cs="Arial"/>
          <w:bCs/>
          <w:color w:val="000000"/>
          <w:sz w:val="28"/>
          <w:szCs w:val="28"/>
          <w:lang w:eastAsia="ru-RU"/>
        </w:rPr>
        <w:t xml:space="preserve"> будет использоваться для подключения конечных устройств. Таким образом, географическое расположение объектов полностью оправдано, и построенная модель сети может быть масштабирована на сети корпоративного предприятия.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ab/>
        <w:t>Взяв за основу предложенную структуру, построим математическую модель сети в виде графа. Граф является взвешенным, то есть каждое ребро имеет характеристику – вес, определяемую пропускной способностью. Вершинами построенного графа являются узлы сети и тупиковые сети, а ребра – это каналы связи.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ab/>
        <w:t>В табл.1 приведено соответствие между используемыми технологиями передачи и соответствующими значениями для ребер графа сети.</w:t>
      </w:r>
    </w:p>
    <w:p w:rsidR="00B17C1A" w:rsidRPr="00B17C1A" w:rsidRDefault="00B17C1A" w:rsidP="00B17C1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>Таблица 1</w:t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Соответствие пропускных способностей, используемых технологий и метрик ребер графа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197"/>
        <w:gridCol w:w="3213"/>
        <w:gridCol w:w="3161"/>
      </w:tblGrid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17C1A">
              <w:rPr>
                <w:rFonts w:ascii="Times New Roman" w:hAnsi="Times New Roman"/>
                <w:sz w:val="28"/>
                <w:szCs w:val="28"/>
              </w:rPr>
              <w:t>Технология передачи данных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7C1A">
              <w:rPr>
                <w:rFonts w:ascii="Times New Roman" w:hAnsi="Times New Roman"/>
                <w:sz w:val="28"/>
                <w:szCs w:val="28"/>
              </w:rPr>
              <w:t>Пропускная способность, Мбит/</w:t>
            </w:r>
            <w:proofErr w:type="gramStart"/>
            <w:r w:rsidRPr="00B17C1A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7C1A">
              <w:rPr>
                <w:rFonts w:ascii="Times New Roman" w:hAnsi="Times New Roman"/>
                <w:sz w:val="28"/>
                <w:szCs w:val="28"/>
              </w:rPr>
              <w:t>Метрика ребра графа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B17C1A">
              <w:rPr>
                <w:rFonts w:ascii="Times New Roman" w:hAnsi="Times New Roman" w:cs="Arial"/>
                <w:color w:val="000000"/>
                <w:sz w:val="28"/>
                <w:szCs w:val="28"/>
              </w:rPr>
              <w:t>Fast</w:t>
            </w:r>
            <w:proofErr w:type="spellEnd"/>
            <w:r w:rsidRPr="00B17C1A">
              <w:rPr>
                <w:rFonts w:ascii="Times New Roman" w:hAnsi="Times New Roman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17C1A">
              <w:rPr>
                <w:rFonts w:ascii="Times New Roman" w:hAnsi="Times New Roman" w:cs="Arial"/>
                <w:color w:val="000000"/>
                <w:sz w:val="28"/>
                <w:szCs w:val="28"/>
              </w:rPr>
              <w:t>Ethernet</w:t>
            </w:r>
            <w:proofErr w:type="spellEnd"/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7C1A"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7C1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17C1A">
              <w:rPr>
                <w:rFonts w:ascii="Times New Roman" w:hAnsi="Times New Roman" w:cs="Arial"/>
                <w:color w:val="000000"/>
                <w:sz w:val="27"/>
                <w:szCs w:val="27"/>
              </w:rPr>
              <w:t>STM-4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7C1A">
              <w:rPr>
                <w:rFonts w:ascii="Times New Roman" w:hAnsi="Times New Roman"/>
                <w:sz w:val="28"/>
                <w:szCs w:val="28"/>
              </w:rPr>
              <w:t>622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7C1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B17C1A">
              <w:rPr>
                <w:rFonts w:ascii="Times New Roman" w:hAnsi="Times New Roman" w:cs="Arial"/>
                <w:color w:val="000000"/>
                <w:sz w:val="27"/>
                <w:szCs w:val="27"/>
              </w:rPr>
              <w:t>Gigabit</w:t>
            </w:r>
            <w:proofErr w:type="spellEnd"/>
            <w:r w:rsidRPr="00B17C1A">
              <w:rPr>
                <w:rFonts w:ascii="Times New Roman" w:hAnsi="Times New Roman" w:cs="Arial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B17C1A">
              <w:rPr>
                <w:rFonts w:ascii="Times New Roman" w:hAnsi="Times New Roman" w:cs="Arial"/>
                <w:color w:val="000000"/>
                <w:sz w:val="27"/>
                <w:szCs w:val="27"/>
              </w:rPr>
              <w:t>Ethernet</w:t>
            </w:r>
            <w:proofErr w:type="spellEnd"/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7C1A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7C1A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Arial"/>
          <w:sz w:val="28"/>
          <w:szCs w:val="24"/>
          <w:highlight w:val="yellow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ab/>
        <w:t>Полученный граф сети приведен на рис.2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C7425B1" wp14:editId="3ED6EF09">
            <wp:extent cx="6299835" cy="3655695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_osp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17C1A">
        <w:rPr>
          <w:rFonts w:ascii="Times New Roman" w:eastAsia="Calibri" w:hAnsi="Times New Roman" w:cs="Times New Roman"/>
          <w:sz w:val="24"/>
          <w:szCs w:val="24"/>
          <w:lang w:eastAsia="ru-RU"/>
        </w:rPr>
        <w:t>Рис.2 Математическая модель исследуемой сети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ab/>
        <w:t>Также необходимо описать адресное пространство, так как для моделирования возникновения переходного процесса понадобится проводить анализ построенных таблиц маршрутизации. В табл. 2</w:t>
      </w:r>
      <w:r w:rsidRPr="00B17C1A">
        <w:rPr>
          <w:rFonts w:ascii="Times New Roman" w:eastAsia="Calibri" w:hAnsi="Times New Roman" w:cs="Arial"/>
          <w:color w:val="FFFFFF"/>
          <w:sz w:val="28"/>
          <w:szCs w:val="24"/>
          <w:lang w:eastAsia="ru-RU"/>
        </w:rPr>
        <w:t xml:space="preserve"> </w:t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приведено распределение адресного пространства для модели корпоративной сети, изображенной на рис.2.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</w:p>
    <w:p w:rsidR="00B17C1A" w:rsidRPr="00B17C1A" w:rsidRDefault="00B17C1A" w:rsidP="00B17C1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>Таблица 2</w:t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Распределение адресного пространства в корпоративной сети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210"/>
        <w:gridCol w:w="3154"/>
        <w:gridCol w:w="3207"/>
      </w:tblGrid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b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b/>
                <w:sz w:val="24"/>
                <w:szCs w:val="24"/>
              </w:rPr>
              <w:t>Соединение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b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b/>
                <w:sz w:val="24"/>
                <w:szCs w:val="24"/>
                <w:lang w:val="en-US"/>
              </w:rPr>
              <w:t>IP</w:t>
            </w:r>
            <w:r w:rsidRPr="00B17C1A">
              <w:rPr>
                <w:rFonts w:ascii="Times New Roman" w:hAnsi="Times New Roman" w:cs="Arial"/>
                <w:b/>
                <w:sz w:val="24"/>
                <w:szCs w:val="24"/>
              </w:rPr>
              <w:t>-адрес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b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b/>
                <w:sz w:val="24"/>
                <w:szCs w:val="24"/>
              </w:rPr>
              <w:t>Маска сети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lang w:val="en-US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Сеть</w:t>
            </w:r>
            <w:proofErr w:type="gramStart"/>
            <w:r w:rsidRPr="00B17C1A">
              <w:rPr>
                <w:rFonts w:ascii="Times New Roman" w:hAnsi="Times New Roman" w:cs="Arial"/>
                <w:sz w:val="24"/>
                <w:szCs w:val="24"/>
              </w:rPr>
              <w:t>1</w:t>
            </w:r>
            <w:proofErr w:type="gramEnd"/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 xml:space="preserve"> 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- маршрутизатор №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lang w:val="en-US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172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.16.2.0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lang w:val="en-US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255.255.255.240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Сеть</w:t>
            </w:r>
            <w:proofErr w:type="gramStart"/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</w:t>
            </w:r>
            <w:proofErr w:type="gramEnd"/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 xml:space="preserve"> 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- маршрутизатор №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172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.16.3.0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255.255.255.240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Сеть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 xml:space="preserve">3 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- маршрутизатор №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172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.16.4.0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255.255.255.240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Сеть</w:t>
            </w:r>
            <w:proofErr w:type="gramStart"/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4</w:t>
            </w:r>
            <w:proofErr w:type="gramEnd"/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 xml:space="preserve"> 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- маршрутизатор №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172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.16.5.0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255.255.255.240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Сеть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 xml:space="preserve">5 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- маршрутизатор №12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172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.16.6.0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255.255.255.240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Сеть</w:t>
            </w:r>
            <w:proofErr w:type="gramStart"/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6</w:t>
            </w:r>
            <w:proofErr w:type="gramEnd"/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 xml:space="preserve"> 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- маршрутизатор №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13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172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.16.7.0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255.255.255.240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Сеть</w:t>
            </w:r>
            <w:proofErr w:type="gramStart"/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7</w:t>
            </w:r>
            <w:proofErr w:type="gramEnd"/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 xml:space="preserve"> 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- маршрутизатор №1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172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.16.8.0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255.255.255.240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Сеть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 xml:space="preserve">8 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- маршрутизатор №14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172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.16.9.0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255.255.255.240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Сеть</w:t>
            </w:r>
            <w:proofErr w:type="gramStart"/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9</w:t>
            </w:r>
            <w:proofErr w:type="gramEnd"/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 xml:space="preserve"> 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- маршрутизатор №15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172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.16.10.0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255.255.255.240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Сеть1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 xml:space="preserve">0 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- маршрутизатор №9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172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.16.0.0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255.255.255.240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b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Сеть1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 xml:space="preserve">1 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- маршрутизатор №10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172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.16.1.0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255.255.255.240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№10 – маршрутизатор №2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lang w:val="en-US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10.0.0.8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lang w:val="en-US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№9 – маршрутизатор №8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№15 – маршрутизатор №7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10.0.0.64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lastRenderedPageBreak/>
              <w:t>Маршрутизатор №14 – маршрутизатор №6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10.0.0.68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№13 – маршрутизатор №5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10.0.0.72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№12 – маршрутизатор №11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10.0.0.80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№11 – маршрутизатор №4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10.0.0.76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№8 – маршрутизатор №7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10.0.0.60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№8 – маршрутизатор №2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10.0.0.4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№8 – маршрутизатор №1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10.0.0.40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№7 – маршрутизатор №6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10.0.0.48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№7 – маршрутизатор №1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10.0.0.44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№6 – маршрутизатор №5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10.0.0.56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№6 – маршрутизатор №1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10.0.0.36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№5 – маршрутизатор №4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10.0.0.52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№5 – маршрутизатор №1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10.0.0.32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№4 – маршрутизатор №3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10.0.0.24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№4 – маршрутизатор №1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10.0.0.28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№3 – маршрутизатор №2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10.0.0.12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№3 – маршрутизатор №1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10.0.0.20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  <w:tr w:rsidR="00B17C1A" w:rsidRPr="00B17C1A" w:rsidTr="00AF7718"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Маршрутизатор №2 – маршрутизатор №1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10.0.0.16</w:t>
            </w:r>
          </w:p>
        </w:tc>
        <w:tc>
          <w:tcPr>
            <w:tcW w:w="3379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8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255.255.255.252</w:t>
            </w:r>
          </w:p>
        </w:tc>
      </w:tr>
    </w:tbl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Составленная карта адресного пространства оптимальна, так как обеспечивает эксплуатацию всего диапазона адресов.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Arial"/>
          <w:sz w:val="28"/>
          <w:szCs w:val="24"/>
          <w:lang w:eastAsia="ru-RU"/>
        </w:rPr>
      </w:pP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Arial"/>
          <w:b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b/>
          <w:sz w:val="28"/>
          <w:szCs w:val="24"/>
          <w:lang w:eastAsia="ru-RU"/>
        </w:rPr>
        <w:t xml:space="preserve">                                          Эксперимент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Общепринятой моделью создания сетей является иерархическая модель межсетевого взаимодействия компании </w:t>
      </w:r>
      <w:r w:rsidRPr="00B17C1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Cisco</w:t>
      </w: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>. Разделение сложной задачи проектирования корпоративной сети на подзадачи упрощает обслуживание внедренной сети, так как подобный подход повышает управляемость сети, в случае отказа позволяя оперативно обслужить устройство, вышедшее из строя. Кроме преимущества в виде более удобного мониторинга сети, подобная концепция позволяет просто наращивать новое оборудование, напротив, убирать узлы, а также внедрять новые услуги.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lastRenderedPageBreak/>
        <w:t xml:space="preserve">В соответствии с данной концепцией выделяют три уровня иерархии: 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ab/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sym w:font="Symbol" w:char="F0B7"/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 xml:space="preserve"> ядро сети; 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ab/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sym w:font="Symbol" w:char="F0B7"/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 xml:space="preserve"> уровень распределения; 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ab/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sym w:font="Symbol" w:char="F0B7"/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 xml:space="preserve"> уровень доступа.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Разработанная модель корпоративной сети, изображенная на рис.3, соответствует вышеописанному принципу построения. </w:t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 xml:space="preserve">Для более детального анализа влияния переходного процесса на эффективность сети, эксперименты будут проведены на всех уровнях иерархии сети. 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17C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6E0A" wp14:editId="02A75BD7">
            <wp:extent cx="5940425" cy="316511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ТОПОЛОГИЯ_ИТОГОВАЯ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>Рис.3 Исследуемая корпоративная сеть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ab/>
        <w:t xml:space="preserve">Данный уровень предназначен для подключения конечных хостов и периферии к ЛВС. 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ab/>
        <w:t xml:space="preserve"> Для анализа времени переходного процесса  внесем неисправность с отсутствием доступа к подсети 172.16.9.0/28, возникшую в результате отказа канала связи. Получившаяся топология представлена на рис 4.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E53072" wp14:editId="7D80349E">
            <wp:extent cx="5940425" cy="31818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отказ доступ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>Рис.4 Топология сети с неисправностью на уровне доступа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Результат исследования времени переходного процесса в сети с использованием протокола </w:t>
      </w:r>
      <w:r w:rsidRPr="00B17C1A">
        <w:rPr>
          <w:rFonts w:ascii="Times New Roman" w:eastAsia="Calibri" w:hAnsi="Times New Roman" w:cs="Arial"/>
          <w:sz w:val="28"/>
          <w:szCs w:val="28"/>
          <w:lang w:val="en-US" w:eastAsia="ru-RU"/>
        </w:rPr>
        <w:t>OSPF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представлен на рис.5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noProof/>
          <w:sz w:val="28"/>
          <w:szCs w:val="24"/>
          <w:lang w:val="en-US" w:eastAsia="ru-RU"/>
        </w:rPr>
      </w:pPr>
      <w:bookmarkStart w:id="2" w:name="_GoBack"/>
      <w:bookmarkEnd w:id="2"/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noProof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noProof/>
          <w:sz w:val="28"/>
          <w:szCs w:val="24"/>
          <w:lang w:eastAsia="ru-RU"/>
        </w:rPr>
        <w:drawing>
          <wp:inline distT="0" distB="0" distL="0" distR="0" wp14:anchorId="2A253B64" wp14:editId="71642CAA">
            <wp:extent cx="5940425" cy="2778306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СПФ_ДОСТУП_ИТОГОВОЕ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noProof/>
          <w:sz w:val="28"/>
          <w:szCs w:val="24"/>
          <w:lang w:eastAsia="ru-RU"/>
        </w:rPr>
      </w:pP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Рис.5 Время переходного процесса на уровне доступа в сети </w:t>
      </w:r>
      <w:r w:rsidRPr="00B17C1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OSPF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ab/>
      </w:r>
      <w:bookmarkStart w:id="3" w:name="_Hlk42530219"/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Продемонстрируем таблицу маршрутизации узла №7 до возникновения переходного процесса и после на рис.6. </w:t>
      </w:r>
      <w:bookmarkEnd w:id="3"/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8"/>
          <w:highlight w:val="yellow"/>
          <w:lang w:eastAsia="ru-RU"/>
        </w:rPr>
      </w:pPr>
      <w:r w:rsidRPr="00B17C1A">
        <w:rPr>
          <w:rFonts w:ascii="Times New Roman" w:eastAsia="Calibri" w:hAnsi="Times New Roman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2BFF7698" wp14:editId="02757BEA">
            <wp:extent cx="5940425" cy="314535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таблица оспф доступ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17C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Рис.6Таблица маршрутизации </w:t>
      </w:r>
      <w:r w:rsidRPr="00B17C1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OSPF</w:t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 xml:space="preserve">Маршрутизатор №7 (рис.2), получив пакет обновлений от маршрутизатора №6 (рис.2), исключил из таблицы маршрутизации недоступную подсеть 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172.16.9.0/28, а остальные маршруты были подтверждены с интервалом в 12с. </w:t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Аналогичное действие было произведено остальными узлами сети.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Таким образом, можно сделать вывод, что обработка переходного процесса в сети </w:t>
      </w:r>
      <w:r w:rsidRPr="00B17C1A">
        <w:rPr>
          <w:rFonts w:ascii="Times New Roman" w:eastAsia="Calibri" w:hAnsi="Times New Roman" w:cs="Arial"/>
          <w:sz w:val="28"/>
          <w:szCs w:val="28"/>
          <w:lang w:val="en-US" w:eastAsia="ru-RU"/>
        </w:rPr>
        <w:t>OSPF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составила 11.265 с.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Результат исследования времени переходного процесса в сети с использованием протокола динамической маршрутизации </w:t>
      </w:r>
      <w:r w:rsidRPr="00B17C1A">
        <w:rPr>
          <w:rFonts w:ascii="Times New Roman" w:eastAsia="Calibri" w:hAnsi="Times New Roman" w:cs="Arial"/>
          <w:sz w:val="28"/>
          <w:szCs w:val="28"/>
          <w:lang w:val="en-US" w:eastAsia="ru-RU"/>
        </w:rPr>
        <w:t>EIGRP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представлен на рис.7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noProof/>
          <w:sz w:val="28"/>
          <w:szCs w:val="28"/>
          <w:lang w:eastAsia="ru-RU"/>
        </w:rPr>
        <w:drawing>
          <wp:inline distT="0" distB="0" distL="0" distR="0" wp14:anchorId="1DE2C0C6" wp14:editId="1F0A1EA9">
            <wp:extent cx="5940425" cy="263040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igrp доступ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Рис.7 Время переходного процесса на уровне доступа в сети </w:t>
      </w:r>
      <w:r w:rsidRPr="00B17C1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EIGRP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 xml:space="preserve">Маршрутизатор №7 (рис.2), получив пакет обновлений от маршрутизатора №1, исключил из таблицы маршрутизации сеть 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>172.16.9.0/28. Продемонстрируем таблицу маршрутизации узла №7 до возникновения переходного процесса и после на рис.8.</w:t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8F260EA" wp14:editId="757CCB4B">
            <wp:extent cx="5940425" cy="2790880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ТАБЛИЦА EIGRP ДОСТУП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>Рис.8 Таблица маршрутизации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>В результате моделирования недоступная подсеть была удалена из таблицы маршрутизации, а остальные маршруты были подтверждены с интервалом в 2с.</w:t>
      </w: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Таким образом, можно сделать вывод, что обработка переходного процесса в сети </w:t>
      </w:r>
      <w:r w:rsidRPr="00B17C1A">
        <w:rPr>
          <w:rFonts w:ascii="Times New Roman" w:eastAsia="Calibri" w:hAnsi="Times New Roman" w:cs="Arial"/>
          <w:sz w:val="28"/>
          <w:szCs w:val="28"/>
          <w:lang w:val="en-US" w:eastAsia="ru-RU"/>
        </w:rPr>
        <w:t>EIGRP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составила 2.315 с.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17C1A" w:rsidRPr="00B17C1A" w:rsidRDefault="00B17C1A" w:rsidP="00B17C1A">
      <w:pPr>
        <w:keepNext/>
        <w:spacing w:before="240" w:after="0" w:line="240" w:lineRule="auto"/>
        <w:outlineLvl w:val="1"/>
        <w:rPr>
          <w:rFonts w:ascii="Times New Roman" w:eastAsia="Arial" w:hAnsi="Times New Roman" w:cs="Arial"/>
          <w:b/>
          <w:bCs/>
          <w:iCs/>
          <w:sz w:val="28"/>
          <w:szCs w:val="28"/>
          <w:lang w:eastAsia="ru-RU"/>
        </w:rPr>
      </w:pPr>
      <w:bookmarkStart w:id="4" w:name="_Toc40757936"/>
      <w:bookmarkStart w:id="5" w:name="_Toc43112628"/>
      <w:r w:rsidRPr="00B17C1A">
        <w:rPr>
          <w:rFonts w:ascii="Times New Roman" w:eastAsia="Arial" w:hAnsi="Times New Roman" w:cs="Arial"/>
          <w:b/>
          <w:bCs/>
          <w:iCs/>
          <w:sz w:val="28"/>
          <w:szCs w:val="28"/>
          <w:lang w:eastAsia="ru-RU"/>
        </w:rPr>
        <w:t xml:space="preserve">                       Неисправность на уровне распределения.</w:t>
      </w:r>
      <w:bookmarkEnd w:id="4"/>
      <w:bookmarkEnd w:id="5"/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Данный уровень предназначен для решения задачи объединения широковещательных доменов, поддержки технологии предоставления различным классам трафика различных приоритетов в обслуживании, обеспечения высокого уровня доступности центральных устройств сетевой топологии для пользователей.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ab/>
        <w:t>Для анализа времени переходного процесса внесем неисправность, связанную с отказом узла сети №7(</w:t>
      </w: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>рис.2</w:t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 xml:space="preserve">), в результате недоступными являются подсети 10.0.0.44/30, 10.0.0.48/30, 10.0.0.60/30, 10.0.0.64/30. 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4"/>
          <w:highlight w:val="yellow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Получившаяся топология представлена на рис.9.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noProof/>
          <w:sz w:val="28"/>
          <w:szCs w:val="24"/>
          <w:lang w:val="en-US" w:eastAsia="ru-RU"/>
        </w:rPr>
      </w:pP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noProof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noProof/>
          <w:sz w:val="28"/>
          <w:szCs w:val="24"/>
          <w:lang w:eastAsia="ru-RU"/>
        </w:rPr>
        <w:lastRenderedPageBreak/>
        <w:drawing>
          <wp:inline distT="0" distB="0" distL="0" distR="0" wp14:anchorId="12624835" wp14:editId="5F78DB44">
            <wp:extent cx="5940425" cy="31471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АСПР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>Рис.9 Топология сети с неисправностью на уровне распределения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Результат исследования времени переходного процесса в сети с использованием протокола динамической маршрутизации </w:t>
      </w:r>
      <w:r w:rsidRPr="00B17C1A">
        <w:rPr>
          <w:rFonts w:ascii="Times New Roman" w:eastAsia="Calibri" w:hAnsi="Times New Roman" w:cs="Arial"/>
          <w:sz w:val="28"/>
          <w:szCs w:val="28"/>
          <w:lang w:val="en-US" w:eastAsia="ru-RU"/>
        </w:rPr>
        <w:t>OSPF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представлен на рис.10.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val="en-US" w:eastAsia="ru-RU"/>
        </w:rPr>
      </w:pPr>
      <w:r w:rsidRPr="00B17C1A">
        <w:rPr>
          <w:rFonts w:ascii="Times New Roman" w:eastAsia="Calibri" w:hAnsi="Times New Roman" w:cs="Arial"/>
          <w:noProof/>
          <w:sz w:val="28"/>
          <w:szCs w:val="24"/>
          <w:lang w:eastAsia="ru-RU"/>
        </w:rPr>
        <w:drawing>
          <wp:inline distT="0" distB="0" distL="0" distR="0" wp14:anchorId="2F15E61A" wp14:editId="762945B7">
            <wp:extent cx="5940425" cy="259627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аспределение оспф топология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17C1A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ис.10 Время переходного процесса на уровне распределения в сети </w:t>
      </w:r>
      <w:r w:rsidRPr="00B17C1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OSPF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>Маршрутизатор №12 (рис.2), получив пакет обновлений от маршрутизатора №11, исключил из таблицы маршрутизации недоступные подсети,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а остальные маршруты были подтверждены с интервалом в 12с. </w:t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Аналогичное действие было произведено остальными узлами сети.</w:t>
      </w:r>
      <w:r w:rsidRPr="00B17C1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 xml:space="preserve"> 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>Продемонстрируем таблицу маршрутизации узла №12 до возникновения переходного процесса и после на рис.11.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val="en-US" w:eastAsia="ru-RU"/>
        </w:rPr>
      </w:pPr>
      <w:r w:rsidRPr="00B17C1A">
        <w:rPr>
          <w:rFonts w:ascii="Times New Roman" w:eastAsia="Calibri" w:hAnsi="Times New Roman" w:cs="Arial"/>
          <w:noProof/>
          <w:sz w:val="28"/>
          <w:szCs w:val="24"/>
          <w:lang w:eastAsia="ru-RU"/>
        </w:rPr>
        <w:lastRenderedPageBreak/>
        <w:drawing>
          <wp:inline distT="0" distB="0" distL="0" distR="0" wp14:anchorId="19EC083E" wp14:editId="0F04EC26">
            <wp:extent cx="5940425" cy="311122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spf распределение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Рис.11 Таблица маршрутизации </w:t>
      </w:r>
      <w:r w:rsidRPr="00B17C1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OSPF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Таким образом, можно сделать вывод, что обработка переходного процесса, возникшего в результате отказа узла на уровне распределения в сети с использованием протокола </w:t>
      </w:r>
      <w:r w:rsidRPr="00B17C1A">
        <w:rPr>
          <w:rFonts w:ascii="Times New Roman" w:eastAsia="Calibri" w:hAnsi="Times New Roman" w:cs="Arial"/>
          <w:sz w:val="28"/>
          <w:szCs w:val="28"/>
          <w:lang w:val="en-US" w:eastAsia="ru-RU"/>
        </w:rPr>
        <w:t>OSPF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>, составила 11.449с.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Результат исследования времени переходного процесса в сети с использованием протокола динамической маршрутизации </w:t>
      </w:r>
      <w:r w:rsidRPr="00B17C1A">
        <w:rPr>
          <w:rFonts w:ascii="Times New Roman" w:eastAsia="Calibri" w:hAnsi="Times New Roman" w:cs="Arial"/>
          <w:sz w:val="28"/>
          <w:szCs w:val="28"/>
          <w:lang w:val="en-US" w:eastAsia="ru-RU"/>
        </w:rPr>
        <w:t>EIGRP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представлен на рис.12.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E5155" wp14:editId="08D30AEA">
            <wp:extent cx="5940425" cy="249867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IGRP РАСПР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Рис.12 Время переходного процесса на уровне распределения в сети </w:t>
      </w:r>
      <w:r w:rsidRPr="00B17C1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EIGRP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>Маршрутизатор №12, получив пакет обновлений от маршрутизатора №11, исключил из таблицы маршрутизации недоступные подсети,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а остальные маршруты были подтверждены с интервалом в 4с. </w:t>
      </w:r>
      <w:r w:rsidRPr="00B17C1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 xml:space="preserve"> </w:t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Аналогичное действие было произведено остальными узлами сети.</w:t>
      </w:r>
      <w:r w:rsidRPr="00B17C1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 xml:space="preserve"> 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>Продемонстрируем таблицу маршрутизации узла №12 до возникновения переходного процесса и после на рис.13.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6A2357" wp14:editId="64DA9D5D">
            <wp:extent cx="5940425" cy="312798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ТАБЛИЦА EIGRP РАСПР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Рис.13 Таблица маршрутизации </w:t>
      </w:r>
      <w:r w:rsidRPr="00B17C1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EIGRP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Таким образом, можно сделать вывод, что обработка </w:t>
      </w:r>
      <w:proofErr w:type="gramStart"/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переходного процесса, возникшего в результате отказа узла на уровне распределения в сети с использованием протокола </w:t>
      </w:r>
      <w:r w:rsidRPr="00B17C1A">
        <w:rPr>
          <w:rFonts w:ascii="Times New Roman" w:eastAsia="Calibri" w:hAnsi="Times New Roman" w:cs="Arial"/>
          <w:sz w:val="28"/>
          <w:szCs w:val="28"/>
          <w:lang w:val="en-US" w:eastAsia="ru-RU"/>
        </w:rPr>
        <w:t>OSPF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составила</w:t>
      </w:r>
      <w:proofErr w:type="gramEnd"/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3.342 с.</w:t>
      </w:r>
    </w:p>
    <w:p w:rsidR="00B17C1A" w:rsidRPr="00B17C1A" w:rsidRDefault="00B17C1A" w:rsidP="00B17C1A">
      <w:pPr>
        <w:keepNext/>
        <w:spacing w:before="240" w:after="0" w:line="240" w:lineRule="auto"/>
        <w:outlineLvl w:val="1"/>
        <w:rPr>
          <w:rFonts w:ascii="Times New Roman" w:eastAsia="Arial" w:hAnsi="Times New Roman" w:cs="Arial"/>
          <w:b/>
          <w:bCs/>
          <w:iCs/>
          <w:sz w:val="28"/>
          <w:szCs w:val="28"/>
          <w:lang w:eastAsia="ru-RU"/>
        </w:rPr>
      </w:pPr>
      <w:bookmarkStart w:id="6" w:name="_Toc40757937"/>
      <w:bookmarkStart w:id="7" w:name="_Toc43112629"/>
      <w:r w:rsidRPr="00B17C1A">
        <w:rPr>
          <w:rFonts w:ascii="Times New Roman" w:eastAsia="Arial" w:hAnsi="Times New Roman" w:cs="Arial"/>
          <w:b/>
          <w:bCs/>
          <w:iCs/>
          <w:sz w:val="28"/>
          <w:szCs w:val="28"/>
          <w:lang w:eastAsia="ru-RU"/>
        </w:rPr>
        <w:t xml:space="preserve">                                     Неисправность в ядре сети</w:t>
      </w:r>
      <w:bookmarkEnd w:id="6"/>
      <w:bookmarkEnd w:id="7"/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Данный уровень модели сети представляет набор сетевых устройств, обеспечивающих отказоустойчивость путем резервирования каналов связи, которые обладают высокой пропускной способностью, что обеспечивает высокоскоростную передачу данных между подсетями.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ab/>
        <w:t>Для анализа времени переходного процесса внесем неисправность, связанную с отказом канала связи между маршрутизатором ядра и маршрутизатором №5 (</w:t>
      </w: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>рис.2</w:t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), в результате недоступной является подсеть 10.0.0.32/30.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Получившаяся топология представлена на рис.14.</w:t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7474D5" wp14:editId="53B2B298">
            <wp:extent cx="5940425" cy="3174693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отказ канала связи итог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>Рис.14 Топология сети с неисправностью на уровне ядра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Результат исследования времени переходного процесса в сети с использованием протокола динамической маршрутизации </w:t>
      </w:r>
      <w:r w:rsidRPr="00B17C1A">
        <w:rPr>
          <w:rFonts w:ascii="Times New Roman" w:eastAsia="Calibri" w:hAnsi="Times New Roman" w:cs="Arial"/>
          <w:sz w:val="28"/>
          <w:szCs w:val="28"/>
          <w:lang w:val="en-US" w:eastAsia="ru-RU"/>
        </w:rPr>
        <w:t>OSPF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представлен на рис.15.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17C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4F16C" wp14:editId="4E1E770D">
            <wp:extent cx="5940425" cy="2726213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аспределение оспф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Рис.15 Время переходного процесса на уровне ядра в сети </w:t>
      </w:r>
      <w:r w:rsidRPr="00B17C1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OSPF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>Маршрутизатор №8 (рис.2), получив пакет обновлений от маршрутизатора, №2, исключил из таблицы маршрутизации недоступные подсети,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а остальные маршруты были подтверждены с интервалом в 13с. </w:t>
      </w:r>
      <w:r w:rsidRPr="00B17C1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 xml:space="preserve"> </w:t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Аналогичное действие было произведено остальными узлами сети.</w:t>
      </w:r>
      <w:r w:rsidRPr="00B17C1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 xml:space="preserve"> 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>Продемонстрируем таблицу маршрутизации узла №8 до возникновения переходного процесса и после на рис.16.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17C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724574" wp14:editId="67DF1DA0">
            <wp:extent cx="5940425" cy="314355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аспределение оспф таблица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17C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Рис.16 Таблица маршрутизации </w:t>
      </w:r>
      <w:r w:rsidRPr="00B17C1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OSPF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Таким образом, можно сделать вывод, что обработка переходного процесса, возникшего в результате выхода из строя канала связи на уровне ядра с использованием протокола </w:t>
      </w:r>
      <w:r w:rsidRPr="00B17C1A">
        <w:rPr>
          <w:rFonts w:ascii="Times New Roman" w:eastAsia="Calibri" w:hAnsi="Times New Roman" w:cs="Arial"/>
          <w:sz w:val="28"/>
          <w:szCs w:val="28"/>
          <w:lang w:val="en-US" w:eastAsia="ru-RU"/>
        </w:rPr>
        <w:t>OSPF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>, составила 12.840 с.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Результат исследования времени переходного процесса в сети с использованием протокола динамической маршрутизации </w:t>
      </w:r>
      <w:r w:rsidRPr="00B17C1A">
        <w:rPr>
          <w:rFonts w:ascii="Times New Roman" w:eastAsia="Calibri" w:hAnsi="Times New Roman" w:cs="Arial"/>
          <w:sz w:val="28"/>
          <w:szCs w:val="28"/>
          <w:lang w:val="en-US" w:eastAsia="ru-RU"/>
        </w:rPr>
        <w:t>EIGRP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представлен на рис.17.</w:t>
      </w:r>
    </w:p>
    <w:p w:rsidR="00B17C1A" w:rsidRPr="00B17C1A" w:rsidRDefault="00B17C1A" w:rsidP="00B17C1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17C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5A6C9" wp14:editId="38FC576C">
            <wp:extent cx="5940425" cy="263519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igrp_ядро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Рис.17 Время переходного процесса на уровне ядра в сети </w:t>
      </w:r>
      <w:r w:rsidRPr="00B17C1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EIGRP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>Маршрутизатор №8 (рис.2), получив пакет обновлений от маршрутизатора, №1, исключил из таблицы маршрутизации недоступные подсети,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 а остальные маршруты были подтверждены с интервалом в 4с.</w:t>
      </w:r>
      <w:r w:rsidRPr="00B17C1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 xml:space="preserve"> </w:t>
      </w: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Аналогичное действие было произведено остальными узлами сети.</w:t>
      </w:r>
      <w:r w:rsidRPr="00B17C1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 xml:space="preserve"> 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>Продемонстрируем таблицу маршрутизации узла №8 до возникновения переходного процесса и после на рис18.</w:t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B17C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AAC71B" wp14:editId="5BA52748">
            <wp:extent cx="5940425" cy="3122001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eigrp_ядро_табл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Рис.18 Таблица маршрутизации </w:t>
      </w:r>
      <w:r w:rsidRPr="00B17C1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EIGRP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>В результате моделирования недоступная подсеть была удалена из таблицы маршрутизации, а остальные маршруты были подтверждены с интервалом в 4с.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 xml:space="preserve">Таким образом, можно сделать вывод, что обработка переходного процесса, возникшего в результате выхода из строя канала связи на уровне ядра с использованием протокола </w:t>
      </w:r>
      <w:r w:rsidRPr="00B17C1A">
        <w:rPr>
          <w:rFonts w:ascii="Times New Roman" w:eastAsia="Calibri" w:hAnsi="Times New Roman" w:cs="Arial"/>
          <w:sz w:val="28"/>
          <w:szCs w:val="28"/>
          <w:lang w:val="en-US" w:eastAsia="ru-RU"/>
        </w:rPr>
        <w:t>EIGRP</w:t>
      </w:r>
      <w:r w:rsidRPr="00B17C1A">
        <w:rPr>
          <w:rFonts w:ascii="Times New Roman" w:eastAsia="Calibri" w:hAnsi="Times New Roman" w:cs="Arial"/>
          <w:sz w:val="28"/>
          <w:szCs w:val="28"/>
          <w:lang w:eastAsia="ru-RU"/>
        </w:rPr>
        <w:t>, составила 3.710 с.</w:t>
      </w:r>
    </w:p>
    <w:p w:rsidR="00B17C1A" w:rsidRPr="00B17C1A" w:rsidRDefault="00B17C1A" w:rsidP="00B17C1A">
      <w:pPr>
        <w:keepNext/>
        <w:spacing w:before="240" w:after="0" w:line="240" w:lineRule="auto"/>
        <w:outlineLvl w:val="1"/>
        <w:rPr>
          <w:rFonts w:ascii="Times New Roman" w:eastAsia="Arial" w:hAnsi="Times New Roman" w:cs="Arial"/>
          <w:b/>
          <w:bCs/>
          <w:iCs/>
          <w:sz w:val="28"/>
          <w:szCs w:val="28"/>
          <w:highlight w:val="yellow"/>
          <w:lang w:eastAsia="ru-RU"/>
        </w:rPr>
      </w:pPr>
      <w:bookmarkStart w:id="8" w:name="_Toc40757938"/>
      <w:bookmarkStart w:id="9" w:name="_Toc43112630"/>
      <w:r w:rsidRPr="00B17C1A">
        <w:rPr>
          <w:rFonts w:ascii="Times New Roman" w:eastAsia="Arial" w:hAnsi="Times New Roman" w:cs="Arial"/>
          <w:b/>
          <w:bCs/>
          <w:iCs/>
          <w:sz w:val="28"/>
          <w:szCs w:val="28"/>
          <w:lang w:eastAsia="ru-RU"/>
        </w:rPr>
        <w:t>5.3 Анализ полученных результатов моделирования</w:t>
      </w:r>
      <w:bookmarkEnd w:id="8"/>
      <w:bookmarkEnd w:id="9"/>
    </w:p>
    <w:p w:rsidR="00B17C1A" w:rsidRPr="00B17C1A" w:rsidRDefault="00B17C1A" w:rsidP="00B17C1A">
      <w:pPr>
        <w:spacing w:after="0" w:line="240" w:lineRule="auto"/>
        <w:ind w:firstLine="720"/>
        <w:rPr>
          <w:rFonts w:ascii="Times New Roman" w:eastAsia="Calibri" w:hAnsi="Times New Roman" w:cs="Arial"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>Полученные результаты приведены в табл.9.</w:t>
      </w:r>
    </w:p>
    <w:p w:rsid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Arial"/>
          <w:sz w:val="28"/>
          <w:szCs w:val="28"/>
          <w:lang w:val="en-US" w:eastAsia="ru-RU"/>
        </w:rPr>
      </w:pP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Calibri" w:hAnsi="Times New Roman" w:cs="Arial"/>
          <w:b/>
          <w:sz w:val="28"/>
          <w:szCs w:val="24"/>
          <w:highlight w:val="yellow"/>
          <w:lang w:eastAsia="ru-RU"/>
        </w:rPr>
      </w:pPr>
      <w:r w:rsidRPr="00B17C1A">
        <w:rPr>
          <w:rFonts w:ascii="Times New Roman" w:eastAsia="Calibri" w:hAnsi="Times New Roman" w:cs="Arial"/>
          <w:b/>
          <w:sz w:val="28"/>
          <w:szCs w:val="24"/>
          <w:lang w:eastAsia="ru-RU"/>
        </w:rPr>
        <w:t>Результаты моделирования</w:t>
      </w:r>
    </w:p>
    <w:p w:rsidR="00B17C1A" w:rsidRPr="00B17C1A" w:rsidRDefault="00B17C1A" w:rsidP="00B17C1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>Таблица 9</w:t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val="en-US" w:eastAsia="ru-RU"/>
        </w:rPr>
      </w:pPr>
    </w:p>
    <w:tbl>
      <w:tblPr>
        <w:tblStyle w:val="3"/>
        <w:tblW w:w="10125" w:type="dxa"/>
        <w:tblLook w:val="04A0" w:firstRow="1" w:lastRow="0" w:firstColumn="1" w:lastColumn="0" w:noHBand="0" w:noVBand="1"/>
      </w:tblPr>
      <w:tblGrid>
        <w:gridCol w:w="2235"/>
        <w:gridCol w:w="4394"/>
        <w:gridCol w:w="236"/>
        <w:gridCol w:w="1417"/>
        <w:gridCol w:w="1843"/>
      </w:tblGrid>
      <w:tr w:rsidR="00B17C1A" w:rsidRPr="00B17C1A" w:rsidTr="00AF7718">
        <w:tc>
          <w:tcPr>
            <w:tcW w:w="2235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b/>
                <w:sz w:val="24"/>
                <w:szCs w:val="24"/>
                <w:highlight w:val="yellow"/>
              </w:rPr>
            </w:pPr>
            <w:r w:rsidRPr="00B17C1A">
              <w:rPr>
                <w:rFonts w:ascii="Times New Roman" w:hAnsi="Times New Roman" w:cs="Arial"/>
                <w:b/>
                <w:sz w:val="24"/>
                <w:szCs w:val="24"/>
              </w:rPr>
              <w:t>№ эксперимента</w:t>
            </w:r>
          </w:p>
        </w:tc>
        <w:tc>
          <w:tcPr>
            <w:tcW w:w="4394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b/>
                <w:sz w:val="24"/>
                <w:szCs w:val="24"/>
                <w:highlight w:val="yellow"/>
              </w:rPr>
            </w:pPr>
            <w:r w:rsidRPr="00B17C1A">
              <w:rPr>
                <w:rFonts w:ascii="Times New Roman" w:hAnsi="Times New Roman" w:cs="Arial"/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3496" w:type="dxa"/>
            <w:gridSpan w:val="3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b/>
                <w:sz w:val="24"/>
                <w:szCs w:val="24"/>
                <w:highlight w:val="yellow"/>
              </w:rPr>
            </w:pPr>
            <w:r w:rsidRPr="00B17C1A">
              <w:rPr>
                <w:rFonts w:ascii="Times New Roman" w:hAnsi="Times New Roman" w:cs="Arial"/>
                <w:b/>
                <w:sz w:val="24"/>
                <w:szCs w:val="24"/>
              </w:rPr>
              <w:t xml:space="preserve">Время переходного процесса, </w:t>
            </w:r>
            <w:proofErr w:type="gramStart"/>
            <w:r w:rsidRPr="00B17C1A">
              <w:rPr>
                <w:rFonts w:ascii="Times New Roman" w:hAnsi="Times New Roman" w:cs="Arial"/>
                <w:b/>
                <w:sz w:val="24"/>
                <w:szCs w:val="24"/>
              </w:rPr>
              <w:t>с</w:t>
            </w:r>
            <w:proofErr w:type="gramEnd"/>
          </w:p>
        </w:tc>
      </w:tr>
      <w:tr w:rsidR="00B17C1A" w:rsidRPr="00B17C1A" w:rsidTr="00AF7718">
        <w:tc>
          <w:tcPr>
            <w:tcW w:w="2235" w:type="dxa"/>
          </w:tcPr>
          <w:p w:rsidR="00B17C1A" w:rsidRPr="00B17C1A" w:rsidRDefault="00B17C1A" w:rsidP="00B17C1A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4394" w:type="dxa"/>
            <w:tcBorders>
              <w:right w:val="nil"/>
            </w:tcBorders>
          </w:tcPr>
          <w:p w:rsidR="00B17C1A" w:rsidRPr="00B17C1A" w:rsidRDefault="00B17C1A" w:rsidP="00B17C1A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CEA318" wp14:editId="7453BD56">
                      <wp:simplePos x="0" y="0"/>
                      <wp:positionH relativeFrom="column">
                        <wp:posOffset>-65543</wp:posOffset>
                      </wp:positionH>
                      <wp:positionV relativeFrom="paragraph">
                        <wp:posOffset>-28</wp:posOffset>
                      </wp:positionV>
                      <wp:extent cx="0" cy="1335820"/>
                      <wp:effectExtent l="0" t="0" r="19050" b="17145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58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5pt,0" to="-5.15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17" w:type="dxa"/>
            <w:tcBorders>
              <w:left w:val="nil"/>
            </w:tcBorders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lang w:val="en-US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OSPF</w:t>
            </w:r>
          </w:p>
        </w:tc>
        <w:tc>
          <w:tcPr>
            <w:tcW w:w="1843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lang w:val="en-US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EIGRP</w:t>
            </w:r>
          </w:p>
        </w:tc>
      </w:tr>
      <w:tr w:rsidR="00B17C1A" w:rsidRPr="00B17C1A" w:rsidTr="00AF7718">
        <w:tc>
          <w:tcPr>
            <w:tcW w:w="2235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right w:val="nil"/>
            </w:tcBorders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427281" wp14:editId="642FB10D">
                      <wp:simplePos x="0" y="0"/>
                      <wp:positionH relativeFrom="column">
                        <wp:posOffset>2494059</wp:posOffset>
                      </wp:positionH>
                      <wp:positionV relativeFrom="paragraph">
                        <wp:posOffset>-6875</wp:posOffset>
                      </wp:positionV>
                      <wp:extent cx="421393" cy="7620"/>
                      <wp:effectExtent l="0" t="0" r="17145" b="3048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1393" cy="76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4pt,-.55pt" to="229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Неисправность на уровне доступа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tcBorders>
              <w:left w:val="nil"/>
            </w:tcBorders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highlight w:val="yellow"/>
                <w:lang w:val="en-US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11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.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265</w:t>
            </w:r>
          </w:p>
        </w:tc>
        <w:tc>
          <w:tcPr>
            <w:tcW w:w="1843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highlight w:val="yellow"/>
                <w:lang w:val="en-US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2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.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315</w:t>
            </w:r>
          </w:p>
        </w:tc>
      </w:tr>
      <w:tr w:rsidR="00B17C1A" w:rsidRPr="00B17C1A" w:rsidTr="00AF7718">
        <w:tc>
          <w:tcPr>
            <w:tcW w:w="2235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right w:val="nil"/>
            </w:tcBorders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DDC855" wp14:editId="695B29A9">
                      <wp:simplePos x="0" y="0"/>
                      <wp:positionH relativeFrom="column">
                        <wp:posOffset>2684890</wp:posOffset>
                      </wp:positionH>
                      <wp:positionV relativeFrom="paragraph">
                        <wp:posOffset>2181</wp:posOffset>
                      </wp:positionV>
                      <wp:extent cx="230174" cy="0"/>
                      <wp:effectExtent l="0" t="0" r="17780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017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4pt,.15pt" to="229.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Неисправность на уровне распределения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tcBorders>
              <w:left w:val="nil"/>
            </w:tcBorders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highlight w:val="yellow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11.449</w:t>
            </w:r>
          </w:p>
        </w:tc>
        <w:tc>
          <w:tcPr>
            <w:tcW w:w="1843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highlight w:val="yellow"/>
                <w:lang w:val="en-US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3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.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342</w:t>
            </w:r>
          </w:p>
        </w:tc>
      </w:tr>
      <w:tr w:rsidR="00B17C1A" w:rsidRPr="00B17C1A" w:rsidTr="00AF7718">
        <w:tc>
          <w:tcPr>
            <w:tcW w:w="2235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right w:val="nil"/>
            </w:tcBorders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B17C1A">
              <w:rPr>
                <w:rFonts w:ascii="Times New Roman" w:hAnsi="Times New Roman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924B1C" wp14:editId="055838F5">
                      <wp:simplePos x="0" y="0"/>
                      <wp:positionH relativeFrom="column">
                        <wp:posOffset>2684890</wp:posOffset>
                      </wp:positionH>
                      <wp:positionV relativeFrom="paragraph">
                        <wp:posOffset>-5163</wp:posOffset>
                      </wp:positionV>
                      <wp:extent cx="229870" cy="7951"/>
                      <wp:effectExtent l="0" t="0" r="17780" b="3048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9870" cy="7951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4pt,-.4pt" to="229.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Неисправность в ядре сети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tcBorders>
              <w:left w:val="nil"/>
            </w:tcBorders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highlight w:val="yellow"/>
                <w:lang w:val="en-US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12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.</w:t>
            </w: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840</w:t>
            </w:r>
          </w:p>
        </w:tc>
        <w:tc>
          <w:tcPr>
            <w:tcW w:w="1843" w:type="dxa"/>
          </w:tcPr>
          <w:p w:rsidR="00B17C1A" w:rsidRPr="00B17C1A" w:rsidRDefault="00B17C1A" w:rsidP="00B17C1A">
            <w:pPr>
              <w:jc w:val="center"/>
              <w:rPr>
                <w:rFonts w:ascii="Times New Roman" w:hAnsi="Times New Roman" w:cs="Arial"/>
                <w:sz w:val="24"/>
                <w:szCs w:val="24"/>
                <w:highlight w:val="yellow"/>
              </w:rPr>
            </w:pPr>
            <w:r w:rsidRPr="00B17C1A">
              <w:rPr>
                <w:rFonts w:ascii="Times New Roman" w:hAnsi="Times New Roman" w:cs="Arial"/>
                <w:sz w:val="24"/>
                <w:szCs w:val="24"/>
                <w:lang w:val="en-US"/>
              </w:rPr>
              <w:t>3</w:t>
            </w:r>
            <w:r w:rsidRPr="00B17C1A">
              <w:rPr>
                <w:rFonts w:ascii="Times New Roman" w:hAnsi="Times New Roman" w:cs="Arial"/>
                <w:sz w:val="24"/>
                <w:szCs w:val="24"/>
              </w:rPr>
              <w:t>.710</w:t>
            </w:r>
          </w:p>
        </w:tc>
      </w:tr>
    </w:tbl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val="en-US" w:eastAsia="ru-RU"/>
        </w:rPr>
      </w:pPr>
      <w:r w:rsidRPr="00B17C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1505B" wp14:editId="5F648720">
                <wp:simplePos x="0" y="0"/>
                <wp:positionH relativeFrom="column">
                  <wp:posOffset>4104115</wp:posOffset>
                </wp:positionH>
                <wp:positionV relativeFrom="paragraph">
                  <wp:posOffset>-4058</wp:posOffset>
                </wp:positionV>
                <wp:extent cx="229870" cy="0"/>
                <wp:effectExtent l="0" t="0" r="1778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15pt,-.3pt" to="341.2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Pr="00B17C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A0CF30" wp14:editId="6A3921E0">
            <wp:extent cx="426720" cy="1206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C1A" w:rsidRPr="00B17C1A" w:rsidRDefault="00B17C1A" w:rsidP="00B17C1A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  <w:proofErr w:type="gramStart"/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 xml:space="preserve">Из полученных при моделировании результатов можно сделать вывод, что время сходимости сети в протоколе EIGRP меньше, так как он достаточно </w:t>
      </w: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>просто выбирает оптимальный маршрут, что присуще дистанционно-векторным протоколам, и экономит пропускную способность каналов связи за счет рассылки служебных сообщений только о состоянии связей и об их изменениях, что присуще протоколам состояния каналов.</w:t>
      </w:r>
      <w:proofErr w:type="gramEnd"/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Однако данный протокол является закрытым и поддерживается только на оборудовании </w:t>
      </w:r>
      <w:r w:rsidRPr="00B17C1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Cisco</w:t>
      </w: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поэтому в сетях крупного масштаба, на </w:t>
      </w: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оборудовании другого производителя рекомендуется использовать протокол </w:t>
      </w:r>
      <w:r w:rsidRPr="00B17C1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OSPF</w:t>
      </w:r>
      <w:r w:rsidRPr="00B17C1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b/>
          <w:sz w:val="28"/>
          <w:szCs w:val="24"/>
          <w:lang w:eastAsia="ru-RU"/>
        </w:rPr>
      </w:pPr>
      <w:r w:rsidRPr="00B17C1A">
        <w:rPr>
          <w:rFonts w:ascii="Times New Roman" w:eastAsia="Calibri" w:hAnsi="Times New Roman" w:cs="Arial"/>
          <w:sz w:val="28"/>
          <w:szCs w:val="24"/>
          <w:lang w:eastAsia="ru-RU"/>
        </w:rPr>
        <w:tab/>
        <w:t xml:space="preserve">                       </w:t>
      </w:r>
      <w:r w:rsidRPr="00B17C1A">
        <w:rPr>
          <w:rFonts w:ascii="Times New Roman" w:eastAsia="Calibri" w:hAnsi="Times New Roman" w:cs="Arial"/>
          <w:b/>
          <w:sz w:val="28"/>
          <w:szCs w:val="24"/>
          <w:lang w:eastAsia="ru-RU"/>
        </w:rPr>
        <w:t>Литература</w:t>
      </w:r>
    </w:p>
    <w:p w:rsidR="00B17C1A" w:rsidRPr="00B17C1A" w:rsidRDefault="00B17C1A" w:rsidP="00B17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17C1A" w:rsidRPr="00B17C1A" w:rsidTr="00AF7718">
        <w:trPr>
          <w:trHeight w:val="260"/>
        </w:trPr>
        <w:tc>
          <w:tcPr>
            <w:tcW w:w="9214" w:type="dxa"/>
          </w:tcPr>
          <w:p w:rsidR="00B17C1A" w:rsidRPr="00B17C1A" w:rsidRDefault="00B17C1A" w:rsidP="00B17C1A">
            <w:pPr>
              <w:numPr>
                <w:ilvl w:val="0"/>
                <w:numId w:val="2"/>
              </w:numPr>
              <w:tabs>
                <w:tab w:val="left" w:pos="8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В.Г. </w:t>
            </w:r>
            <w:proofErr w:type="spellStart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Олифер</w:t>
            </w:r>
            <w:proofErr w:type="spellEnd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Н.А. </w:t>
            </w:r>
            <w:proofErr w:type="spellStart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Олифер</w:t>
            </w:r>
            <w:proofErr w:type="spellEnd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Компьютерные сети. Принципы, </w:t>
            </w:r>
          </w:p>
        </w:tc>
      </w:tr>
      <w:tr w:rsidR="00B17C1A" w:rsidRPr="00B17C1A" w:rsidTr="00AF7718">
        <w:trPr>
          <w:trHeight w:val="276"/>
        </w:trPr>
        <w:tc>
          <w:tcPr>
            <w:tcW w:w="9214" w:type="dxa"/>
          </w:tcPr>
          <w:p w:rsidR="00B17C1A" w:rsidRPr="00B17C1A" w:rsidRDefault="00B17C1A" w:rsidP="00B17C1A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технологии, протоколы. Учебник для вузов. 5-е изд. </w:t>
            </w:r>
            <w:proofErr w:type="gramStart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</w:t>
            </w:r>
            <w:proofErr w:type="gramEnd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Пб.: Питер, </w:t>
            </w:r>
          </w:p>
        </w:tc>
      </w:tr>
      <w:tr w:rsidR="00B17C1A" w:rsidRPr="00B17C1A" w:rsidTr="00AF7718">
        <w:trPr>
          <w:trHeight w:val="276"/>
        </w:trPr>
        <w:tc>
          <w:tcPr>
            <w:tcW w:w="9214" w:type="dxa"/>
          </w:tcPr>
          <w:p w:rsidR="00B17C1A" w:rsidRPr="00B17C1A" w:rsidRDefault="00B17C1A" w:rsidP="00B17C1A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2016г. -960 с.</w:t>
            </w:r>
          </w:p>
        </w:tc>
      </w:tr>
      <w:tr w:rsidR="00B17C1A" w:rsidRPr="00B17C1A" w:rsidTr="00AF7718">
        <w:trPr>
          <w:trHeight w:val="260"/>
        </w:trPr>
        <w:tc>
          <w:tcPr>
            <w:tcW w:w="9214" w:type="dxa"/>
          </w:tcPr>
          <w:p w:rsidR="00B17C1A" w:rsidRPr="00B17C1A" w:rsidRDefault="00B17C1A" w:rsidP="00B17C1A">
            <w:pPr>
              <w:numPr>
                <w:ilvl w:val="0"/>
                <w:numId w:val="2"/>
              </w:numPr>
              <w:tabs>
                <w:tab w:val="left" w:pos="10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У. </w:t>
            </w:r>
            <w:proofErr w:type="spellStart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Одом</w:t>
            </w:r>
            <w:proofErr w:type="spellEnd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Официальное руководство </w:t>
            </w:r>
            <w:proofErr w:type="spellStart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Cisco</w:t>
            </w:r>
            <w:proofErr w:type="spellEnd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 подготовке </w:t>
            </w:r>
            <w:proofErr w:type="gramStart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17C1A" w:rsidRPr="00B17C1A" w:rsidTr="00AF7718">
        <w:trPr>
          <w:trHeight w:val="276"/>
        </w:trPr>
        <w:tc>
          <w:tcPr>
            <w:tcW w:w="9214" w:type="dxa"/>
          </w:tcPr>
          <w:p w:rsidR="00B17C1A" w:rsidRPr="00B17C1A" w:rsidRDefault="00B17C1A" w:rsidP="00B17C1A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экзаменам CCENT/CCNA ICND2. 3-е изд. -</w:t>
            </w:r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Cisco</w:t>
            </w:r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Press</w:t>
            </w:r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2012г. -736 с.</w:t>
            </w:r>
          </w:p>
        </w:tc>
      </w:tr>
      <w:tr w:rsidR="00B17C1A" w:rsidRPr="00B17C1A" w:rsidTr="00AF7718">
        <w:trPr>
          <w:trHeight w:val="276"/>
        </w:trPr>
        <w:tc>
          <w:tcPr>
            <w:tcW w:w="9214" w:type="dxa"/>
          </w:tcPr>
          <w:p w:rsidR="00B17C1A" w:rsidRPr="00B17C1A" w:rsidRDefault="00B17C1A" w:rsidP="00B17C1A">
            <w:pPr>
              <w:numPr>
                <w:ilvl w:val="0"/>
                <w:numId w:val="2"/>
              </w:numPr>
              <w:tabs>
                <w:tab w:val="left" w:pos="10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Лимончелли</w:t>
            </w:r>
            <w:proofErr w:type="spellEnd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Т., Страта </w:t>
            </w:r>
            <w:proofErr w:type="spellStart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Чейлап</w:t>
            </w:r>
            <w:proofErr w:type="spellEnd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Хоган</w:t>
            </w:r>
            <w:proofErr w:type="spellEnd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К. </w:t>
            </w:r>
            <w:proofErr w:type="gramStart"/>
            <w:r w:rsidRPr="00B17C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Системное</w:t>
            </w:r>
            <w:proofErr w:type="gramEnd"/>
            <w:r w:rsidRPr="00B17C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 сетевое </w:t>
            </w:r>
          </w:p>
        </w:tc>
      </w:tr>
      <w:tr w:rsidR="00B17C1A" w:rsidRPr="00B17C1A" w:rsidTr="00AF7718">
        <w:trPr>
          <w:trHeight w:val="260"/>
        </w:trPr>
        <w:tc>
          <w:tcPr>
            <w:tcW w:w="9214" w:type="dxa"/>
          </w:tcPr>
          <w:p w:rsidR="00B17C1A" w:rsidRPr="00B17C1A" w:rsidRDefault="00B17C1A" w:rsidP="00B17C1A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17C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администрирование. Практическое руководство. 2-е изд. </w:t>
            </w:r>
            <w:proofErr w:type="gramStart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</w:t>
            </w:r>
            <w:proofErr w:type="gramEnd"/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Пб.: </w:t>
            </w:r>
          </w:p>
        </w:tc>
      </w:tr>
      <w:tr w:rsidR="00B17C1A" w:rsidRPr="00B17C1A" w:rsidTr="00AF7718">
        <w:trPr>
          <w:trHeight w:val="260"/>
        </w:trPr>
        <w:tc>
          <w:tcPr>
            <w:tcW w:w="9214" w:type="dxa"/>
          </w:tcPr>
          <w:p w:rsidR="00B17C1A" w:rsidRPr="00B17C1A" w:rsidRDefault="00B17C1A" w:rsidP="00B17C1A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17C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Символ-Плюс, 2009г. -944с.</w:t>
            </w:r>
          </w:p>
        </w:tc>
      </w:tr>
    </w:tbl>
    <w:p w:rsidR="00B17C1A" w:rsidRPr="00B17C1A" w:rsidRDefault="00B17C1A" w:rsidP="00B17C1A">
      <w:pPr>
        <w:spacing w:after="0" w:line="240" w:lineRule="auto"/>
        <w:jc w:val="both"/>
        <w:rPr>
          <w:rFonts w:ascii="Times New Roman" w:eastAsia="Calibri" w:hAnsi="Times New Roman" w:cs="Arial"/>
          <w:sz w:val="28"/>
          <w:szCs w:val="24"/>
          <w:lang w:eastAsia="ru-RU"/>
        </w:rPr>
      </w:pPr>
    </w:p>
    <w:p w:rsidR="00B17C1A" w:rsidRPr="00B17C1A" w:rsidRDefault="00B17C1A" w:rsidP="00B17C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B17C1A" w:rsidRPr="00B17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FA1368"/>
    <w:multiLevelType w:val="hybridMultilevel"/>
    <w:tmpl w:val="5E4C0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5A7913"/>
    <w:multiLevelType w:val="hybridMultilevel"/>
    <w:tmpl w:val="D7EAC320"/>
    <w:lvl w:ilvl="0" w:tplc="1B584E6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212"/>
    <w:rsid w:val="00032961"/>
    <w:rsid w:val="000F2B06"/>
    <w:rsid w:val="00264212"/>
    <w:rsid w:val="004C4DE4"/>
    <w:rsid w:val="00680788"/>
    <w:rsid w:val="00B17C1A"/>
    <w:rsid w:val="00BE3277"/>
    <w:rsid w:val="00F1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B17C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59"/>
    <w:rsid w:val="00B17C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59"/>
    <w:rsid w:val="00B17C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B17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7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B17C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59"/>
    <w:rsid w:val="00B17C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59"/>
    <w:rsid w:val="00B17C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B17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7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2535</Words>
  <Characters>14450</Characters>
  <Application>Microsoft Office Word</Application>
  <DocSecurity>0</DocSecurity>
  <Lines>120</Lines>
  <Paragraphs>33</Paragraphs>
  <ScaleCrop>false</ScaleCrop>
  <Company/>
  <LinksUpToDate>false</LinksUpToDate>
  <CharactersWithSpaces>16952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Леонид</cp:lastModifiedBy>
  <cp:revision>3</cp:revision>
  <dcterms:created xsi:type="dcterms:W3CDTF">2021-05-19T10:59:00Z</dcterms:created>
  <dcterms:modified xsi:type="dcterms:W3CDTF">2021-06-09T17:31:00Z</dcterms:modified>
</cp:coreProperties>
</file>