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4C0A9E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0A9E">
        <w:rPr>
          <w:rFonts w:ascii="Times New Roman" w:hAnsi="Times New Roman" w:cs="Times New Roman"/>
          <w:b/>
          <w:sz w:val="28"/>
          <w:szCs w:val="28"/>
        </w:rPr>
        <w:t>BC/NW 2021№ 2 (37)</w:t>
      </w:r>
      <w:r w:rsidR="005C7302" w:rsidRPr="004C0A9E">
        <w:rPr>
          <w:rFonts w:ascii="Times New Roman" w:hAnsi="Times New Roman" w:cs="Times New Roman"/>
          <w:b/>
          <w:sz w:val="28"/>
          <w:szCs w:val="28"/>
          <w:lang w:val="en-US"/>
        </w:rPr>
        <w:t>:8.1</w:t>
      </w:r>
    </w:p>
    <w:p w:rsidR="005C7302" w:rsidRPr="005C7302" w:rsidRDefault="004C0A9E" w:rsidP="005C730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A9E">
        <w:rPr>
          <w:rFonts w:ascii="Times New Roman" w:eastAsia="Calibri" w:hAnsi="Times New Roman" w:cs="Times New Roman"/>
          <w:b/>
          <w:sz w:val="28"/>
          <w:szCs w:val="28"/>
        </w:rPr>
        <w:t>ОБЗОР МЕТОДОВ КОМПЬЮТЕРНОГО ИМИТАЦИОННОГО МОДЕЛИРОВАНИЯ БИЗНЕСА, ПРОИЗВОДСТВА  И ТЕХНОЛОГИЧЕСКИХ ПРОЦЕССОВ</w:t>
      </w:r>
    </w:p>
    <w:p w:rsidR="005C7302" w:rsidRPr="005C7302" w:rsidRDefault="005C7302" w:rsidP="004C0A9E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b/>
          <w:sz w:val="28"/>
          <w:szCs w:val="28"/>
        </w:rPr>
        <w:t>Семочкина Е.В.</w:t>
      </w:r>
    </w:p>
    <w:p w:rsidR="005C7302" w:rsidRPr="005C7302" w:rsidRDefault="005C7302" w:rsidP="005C730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Современное развитие экономических систем предполагает применение моделирования для анализа, прогнозирования, управления экономическими процессами. В статье описываются основные парадигмы при построении имитационных моделей, приводятся примеры программ - симуляторов бизне</w:t>
      </w:r>
      <w:proofErr w:type="gramStart"/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с-</w:t>
      </w:r>
      <w:proofErr w:type="gramEnd"/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технологических и производственных процессов. Приводится более подробное описание некоторых из них.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Пандемия covid-19 дополнительно стимулирует имитационное динамическое моделирование эпидемиологического процесса. В производстве и технологических процессах дополнительно увеличивается спрос на автоматизированные системы управления и автоматизированные системы принятия решений. Возможно ускорение работ по развитию искусственного интеллекта, возрастание предложений для эффективной удалённой работы в среде моделирования. Перспективно  также моделирование с применением облачных технологий.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В соответствии с российским законодательством системы, обеспечивающие удаленный доступ, должны быть работоспособны в суверенном интернете.</w:t>
      </w:r>
      <w:bookmarkStart w:id="0" w:name="_GoBack"/>
      <w:bookmarkEnd w:id="0"/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Ключевые слова: </w:t>
      </w: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моделирование процесса, симуляция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Преобразования социально-экономических систем X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века происходят в условиях обострения экологического кризиса, бурного развития и применения нано,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инфо,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(NBIC –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technologis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Прорыв в развитии  науки и производства связан с  конвергенцией этих технологий. Предполагается широкое внедрение достижений одних областей науки в другие ее области. Инструменты применения данных технологий и их достижения являются общими для всех наук. Преобладает конструктивистское начало в отношении к реальности, отсюда, моделирование как один из главных познавательных методов с широким привлечением вычислительных ресурсов [13].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частный случай, современное развитие экономических систем предполагает применение моделирования для анализа, прогнозирования, управления экономическими процессами.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позиций системного подхода, технологический и производственный процессы - это сложные динамические системы. В них взаимодействуют: оборудование, средства контроля и управления, вспомогательные и транспортные устройства, обрабатывающий инструмент или среды, находящиеся в постоянном движении и изменении, объекты производства, люди осуществляющие процесс и управляющие им. Бизнес-процессы тоже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представляют собой крупные системы взаимосвязанных элементов: сотрудников различных отделов, организационной техники, ИТ-техники и т.д. Абсолютно точную модель сложного процесса построить невозможно. Декомпозиция системы на подсистемы позволяет вскрыть иерархию структуры и рассматривать систему на разных уровнях ее детализации [1].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Моделирование сложных систем невозможно без применения специального программного обеспечения. Знаменитая фраза Джона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Мейнарда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Кейнса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звучит: «Спрос рождает предложение».  Потребность в программном обеспечении для моделирования различных процессов стимулировала разработку большого числа сред для моделирования  рабочих процессов компаний из разных отраслей экономики. Отдельно остановимся на имитационном моделировании. </w:t>
      </w:r>
      <w:r w:rsidRPr="005C73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Имитация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узнать данные о состоянии системы или отдельных ее элементов в определенные моменты времени. </w:t>
      </w:r>
      <w:r w:rsidRPr="005C73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Симуляция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процесс использования модели для изучения производительности системы.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Пользователям несколько десятилетий доступно построение компьютерных моделей и проведение имитационных экспериментов при помощи специализированных компьютерных сред (например,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Arena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Pilgrim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Вместо написания программы пользователи составляют модель из библиотечных графических модулей, и/или заполняют специальные формы. Как правило, имитационная среда обеспечивает возможность визуализации процесса имитации, позволяет проводить сценарный анализ и поиск оптимальных решений.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имитационного моделирования можно выделить основные парадигмы при построении моделей: статические системы, динамические системы, системная динамика, дискретно-событийное моделирование,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мультиагентные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системы. Существует целый ряд программных инструментов, ориентированных на эти подходы: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Статическое моделирование («</w:t>
      </w:r>
      <w:hyperlink r:id="rId6" w:history="1">
        <w:proofErr w:type="spellStart"/>
        <w:r w:rsidRPr="005C730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Hysys</w:t>
        </w:r>
        <w:proofErr w:type="spellEnd"/>
      </w:hyperlink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"http://home.aspentech.com/products/engineering/aspen-plus"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Aspen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Plus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7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CHEMCAD</w:t>
        </w:r>
      </w:hyperlink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Симулятор «PRO/II</w:t>
      </w:r>
      <w:r w:rsidRPr="005C7302">
        <w:rPr>
          <w:rFonts w:ascii="Times New Roman" w:eastAsia="Calibri" w:hAnsi="Times New Roman" w:cs="Times New Roman"/>
          <w:sz w:val="28"/>
          <w:szCs w:val="28"/>
        </w:rPr>
        <w:t>»)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Динамические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instrText>HYPERLINK "http://aspentech.com/brochures/HYSYS.pdf"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Hysys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instrText>HYPERLINK "https://www.psenterprise.com/products/gproms/modelbuilder"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gPROMS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ModelBuilder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«FEMLAB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«COMSOL Multiphysics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Системная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Vensim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PLE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Дискретно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событийное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«Arena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«GPSS World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«Pilgrim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Мультиагентные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Кардиовид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Автоматизированная система поддержки принятия решений в аварийных ситуациях на МКС).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профессиональное программное обеспечение для проектирования, разработки и тестирования систем нечеткого вывода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FisPro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Остановимся подробнее на некоторых программах.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— это среда моделирования общего назначения, охватывает области как дискретного, так и непрерывного моделирования. «GPSS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включает PLUS — язык программирования нижнего уровня моделирования. Моделирование с использованием PLUS выражений может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быть включено почти везде в GP55-программы, в любом блоке или процедуре вызова. Язык PLUS позволяет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управлять размещением результатов. Система «GPSS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разрешает многозадачность, позволяя нескольким имитационным процессам выполняться одновременно [3].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моделирования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поддерживает три подхода к созданию имитационных моделей: процессно-ориентированный (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дискретнособытийный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системно-динамический и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агентный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любую их комбинацию. Графический интерфейс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инструменты и библиотеки позволяют быстро создавать модели для широкого спектра задач — от моделирования производства, логистики, бизнес-процессов до стратегических моделей развития компании и рынков.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корпоративным стандартом на бизнес-моделирование во многих транснациональных компаниях, широко используется в образовании [2].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Actor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Pilgrim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система имитационного моделирования временной, пространственной и финансовой динамики экономических процессов. Система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Actor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Pilgrim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работать с многослойными имитационными моделями. Поддерживаемые виды (технологии) моделирования: дискретное и дискретно-непрерывное, механизм виртуального таймера дискретно-событийный, одновременная реализация временной, пространственной и финансовой динамики [4].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моделирования системной динамики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Vensim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PLE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Системное динамическое моделирование - метод исследования и прогнозирования, основанный на описании объекта исследования в виде системы взаимосвязанных показателей сначала на качественном уровне путем разработки когнитивной диаграммы, а затем - количественно, путем разработки потоковой модели [5].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Arena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система дискретного моделирования. Сфера основных приложений системы — имитационное моделирование производственных технологических процессов и операций, складской учет, банковская деятельность, оптимизация обслуживания клиентов в сфере услуг, транспортные задачи [6].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"http://aspentech.com/brochures/HYSYS.pdf"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Hysys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предназначено для моделирования ХТП для оптимизации проектирования схемотехнических решений технологического процесса. Помимо статического моделирования технологических схем программа позволяет в той же среде производить динамическое моделирование отдельных процессов и всей технологической цепочки, а также разрабатывать и отлаживать схемы регулирования процессов. Есть возможность выполнять расчеты основных конструктивных характеристик оборудования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пакет 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"http://home.aspentech.com/products/engineering/aspen-plus"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Aspen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Plus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 для моделирования в стационарном режиме, проектирования химико-технологических производств, контроля производительности оборудования, оптимизации и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бизнес-планирования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добычи и переработки углеводородов и нефтехимии [8].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"https://www.psenterprise.com/products/gproms/modelbuilder"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gPROMS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ModelBuilder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средой моделирования для стационарных и динамических систем, которая ориентирована на применение в перерабатывающей промышленности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комплекс «</w:t>
      </w:r>
      <w:hyperlink r:id="rId8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CHEMCAD</w:t>
        </w:r>
      </w:hyperlink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 на моделирование ХТП. Пакет включает средства статического моделирования основных процессов, основанных на фазовых и химических превращениях, а также средства для расчета геометрических размеров и конструктивных характеристик основных аппаратов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для моделирования технологических процессов «</w:t>
      </w:r>
      <w:hyperlink r:id="rId9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PRO/II</w:t>
        </w:r>
      </w:hyperlink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симулятор стационарного режима, улучшающий процессы проектирования и операционного анализа. Симулятор «PRO/II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для точных расчетов массового и энергетического баланса для широкого спектра производственных процессов. Отрасли применения: нефтепереработка,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газопереработка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нефтехимия, химия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«FEMLAB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интерактивная среда моделирования для расчёта большинства научных и инженерных задач на основе дифференциальных уравнений в частных производных, которые решаются методом конечных элементов [8].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передачи тепла «FEMLAB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множества прикладных режимов, которые описывают температурное поле неизотермической системы. Эти прикладные режимы используются для решения задач с передачей тепла теплопроводностью, конвекцией и радиацией. В дополнение к прикладным режимам, которые описывают температурные поля, этот модуль включает также прикладные задачи для динамики жидкости, при решении которых моделируется скоростное поле неизотермической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жид-кости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Этот прикладной режим используется при решении задач с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конвективным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тепломассообменом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«COMSOL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Multiphysics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бывший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Femlab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Программное обеспечение пакета «COMSOL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предназначено для моделирования любых физических систем. «COMSOL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Multiphysics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графический пользовательский интерфейс (GUI) COMSOL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Desktop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набор предварительно сконфигурированных пользовательских интерфейсов и инструментов, которые предназначены для стандартных задач моделирования [9],[10].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Имитационная система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Кардиовид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позволяет  разработку и исследование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многоагентной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имитационной модели управления процессами в компьютерной диагностической системе [11]. Эффективно работает в медицине.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Автоматизированная система поддержки принятия решений в аварийных ситуациях на МКС, описанная в источнике [12], основана на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мультиагентной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технологии. ИСППР – интеллектуальные системы поддержки принятия решений, представляющие собой автоматизированную компьютерную сеть, обеспечивающую объективную аналитику данных с построением математической модели предполагаемого развития событий. ИСППР помогают людям принять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сложные управленческие решения в сложных условиях.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FisPro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Fuzzy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Inference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System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Professional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профессиональное программное обеспечение для проектирования, разработки и тестирования систем нечеткого вывода, базирующихся на математическом аппарате нечеткой логики [14]. С его помощью удобно применять метод оценки финансовых рисков, основанный на аппарате нечеткой логики. Метод позволяет проводить оценку рисков на различных этапах технологической инновации, а также формировать сценарии ее реализации, характеризующиеся приемлемыми значениями риска [1].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Приведенные имитационные средства справляются с поставленными задачами на высоком уровне. Перечень программного обеспечения данного класса намного больше. Ускорение научно-технического прогресса, вероятно, создаст еще более мощные и интересные программы.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ним повышаются и изменяются. Пандемия covid-19 дополнительно стимулирует динамическое моделирование развития эпидемиологического процесса (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SIRS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модель) [15]. В производстве и технологических процессах дополнительно увеличивается спрос на автоматизированные системы управления и автоматизированные системы принятия решений. Возможно ускорение работ по развитию искусственного интеллекта.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Растет интерес к приложениям для эффективной организации удалённой работы в информационной среде, и к привлечению ресурсов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Дата-центра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сложных вычислений.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развивается применение облачных технологий в различных областях человеческой деятельности. Возможно, среды для моделирования будут работать и через «облако».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Возрастающий спрос на интернет услуги и внешнеполитические условия развития стран влияют на развитие программного обеспечения. Приняты и вступили  в силу Федеральный закон от 1 мая 2019 г. № 90-ФЗ «О внесении изменений в Федеральный закон «О связи» и Федеральный закон «Об информации, информационных технологиях и о защите информации». Системы с удаленным доступом должны быть функциональны в российском интернете.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реальность уже не «за горами». Из прессы известно, что 23 декабря 2019 года 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"https://www.tadviser.ru/index.php/%D0%9C%D0%B8%D0%BD%D0%BA%D0%BE%D0%BC%D1%81%D0%B2%D1%8F%D0%B7%D0%B8" \o "Минкомсвязи" </w:instrTex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Минкомсвязи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сообщило об итогах первых учений, проведенных в рамках закона о «суверенном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рунете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которые проходили несколько дней в </w:t>
      </w:r>
      <w:hyperlink r:id="rId10" w:tooltip="Москве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Москве</w:t>
        </w:r>
      </w:hyperlink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tooltip="Владимир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Владимире</w:t>
        </w:r>
      </w:hyperlink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Ростове и в других городах. По словам замглавы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Минкомсвязи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Соколова Алексея Валерьевича,  власти и операторы готовы оперативно отреагировать на внешние угрозы и обеспечить бесперебойную работу интернета и связи.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марта 2021 года глава комитета Госдумы по информационной политике Александр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Хинштейн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рассказал</w:t>
        </w:r>
      </w:hyperlink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интервью ТАСС, что оборудование для глубокой фильтрации трафика (технология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Deep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packet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inspection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DPI) установлено на всех площадках «Ростелекома», МТС, «МегаФона»,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Вымпелкома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Транстелекома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 продолжается его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установка у остальных провайдеров и операторов связи.  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Цивилизация реагирует на требования времени, следовательно, увидим новое программное обеспечение, создаваемое разработчиками с их учетом. Так по данным ЦБ РФ, уже за девять месяцев 2020 года экспорт программного обеспечения и услуг по его разработке, вырос на 11-16% по сравнению с 2019 годом.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Мальков М.В. Моделирование технологических процессов: методы и опыт/ М.В. Мальков, А.Г. Олейник, А.М. Федоров// Труды Кольского научного центра РАН, 2010. №3.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Боев В. Д. Компьютерное моделирование: пособие для курсового и дипломного проектирования. / Боев В. Д.,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Кирик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И.,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Сыпченко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П.- СПб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Военная академия связи, 2011.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Т.И. Основы моделирования дискретных систем. – СПб: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СПбГУИТМО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2009. – 363 с. 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Емельянов А. А., Емельянова Н. 3. Имитационное моделирование и компьютерный анализ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учеб, пособие. Смоленск: Универсум, 2013.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spacing w:after="40" w:line="240" w:lineRule="auto"/>
        <w:contextualSpacing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Кузнецов Ю.А. Применение пакетов имитационного моделирования для анализа математических моделей экономических систем: Учебно-методический материал по программе повышения квалификации «Применение программных средств в научных исследованиях и в преподавании математики и механики»/ Кузнецов Ю.А., Перова В.И. - Нижний Новгород, 2007. 98 с.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Щербаков С. М. Имитационное моделирование 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экономических процессов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в системе 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Arena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: учеб, пособие. Ростов и/Д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: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Ростовский государственный экономический университет, 2012.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Системы имитационного моделирования: выбираем 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подходящую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// «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Хабр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 [Электронный ресурс] Блог № 351870 (</w:t>
      </w:r>
      <w:hyperlink r:id="rId13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 xml:space="preserve">Блог </w:t>
        </w:r>
        <w:hyperlink r:id="rId14" w:history="1">
          <w:r w:rsidRPr="005C7302">
            <w:rPr>
              <w:rFonts w:ascii="Times New Roman" w:eastAsia="Times New Roman" w:hAnsi="Times New Roman" w:cs="Times New Roman"/>
              <w:color w:val="000000"/>
              <w:kern w:val="36"/>
              <w:sz w:val="28"/>
              <w:szCs w:val="28"/>
              <w:lang w:eastAsia="ru-RU"/>
            </w:rPr>
            <w:t>ГК ЛАНИТ</w:t>
          </w:r>
        </w:hyperlink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) -  2006 – 2021 гг. URL:</w:t>
      </w:r>
      <w:hyperlink r:id="rId15" w:history="1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>https://habr.com/ru/company/lanit/blog/351870/</w:t>
        </w:r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(Дата обращения 11.05.2021)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Горбунов В.А. Моделирование теплообмена в конечно-элементном пакете FEMLAB: Учеб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особие / ГОУВПО «Ивановский государственный энергетический 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универси-тет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имени В.И. Ленина». – Иваново, 2008.–216 с. 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Моделирование - в массы// «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Хабр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 [Электронный ресурс] Блог №  406841 (</w:t>
      </w:r>
      <w:hyperlink r:id="rId16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 xml:space="preserve">Блог </w:t>
        </w:r>
        <w:hyperlink r:id="rId17" w:history="1">
          <w:r w:rsidRPr="005C7302">
            <w:rPr>
              <w:rFonts w:ascii="Times New Roman" w:eastAsia="Times New Roman" w:hAnsi="Times New Roman" w:cs="Times New Roman"/>
              <w:color w:val="000000"/>
              <w:kern w:val="36"/>
              <w:sz w:val="28"/>
              <w:szCs w:val="28"/>
              <w:lang w:eastAsia="ru-RU"/>
            </w:rPr>
            <w:t>Dell Technologies</w:t>
          </w:r>
        </w:hyperlink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) -  2006 – 2021 гг. URL:</w:t>
      </w:r>
      <w:hyperlink r:id="rId18" w:history="1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>https://habr.com/ru/company/dell_technologies/blog/406841/</w:t>
        </w:r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(Дата обращения 11.05.2021)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Проектирование с использованием моделирования: как это работает? // «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Хабр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 [Электронный ресурс] Блог № 409401 (</w:t>
      </w:r>
      <w:hyperlink r:id="rId19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 xml:space="preserve">Блог </w:t>
        </w:r>
        <w:hyperlink r:id="rId20" w:history="1">
          <w:r w:rsidRPr="005C7302">
            <w:rPr>
              <w:rFonts w:ascii="Times New Roman" w:eastAsia="Times New Roman" w:hAnsi="Times New Roman" w:cs="Times New Roman"/>
              <w:color w:val="000000"/>
              <w:kern w:val="36"/>
              <w:sz w:val="28"/>
              <w:szCs w:val="28"/>
              <w:lang w:eastAsia="ru-RU"/>
            </w:rPr>
            <w:t>Dell Technologies</w:t>
          </w:r>
        </w:hyperlink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) -  2006 – 2021 гг.  URL:</w:t>
      </w:r>
      <w:hyperlink r:id="rId21" w:history="1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>https://habr.com/ru/company/dell_technologies/blog/409401</w:t>
        </w:r>
      </w:hyperlink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Бодин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О.Н., </w:t>
      </w: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Баусова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З.И., Безбородова О. Е., Убиенных А.Г. Имитационное моделирование </w:t>
      </w: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многоагентной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технологии в компьютерной диагностической системе «</w:t>
      </w: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Кардиовид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». «Измерение. Мониторинг. Управление. Контроль» 2019, № 1(27).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b/>
          <w:bCs/>
          <w:color w:val="444444"/>
          <w:sz w:val="28"/>
          <w:szCs w:val="28"/>
          <w:shd w:val="clear" w:color="auto" w:fill="F5F3E8"/>
        </w:rPr>
        <w:t> </w:t>
      </w:r>
      <w:hyperlink r:id="rId22" w:history="1">
        <w:r w:rsidRPr="005C7302">
          <w:rPr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Матюшин М.М.</w:t>
        </w:r>
      </w:hyperlink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Автоматизированная система поддержки принятия решений в аварийных ситуациях//международный научно-практический журнал «Программные продукты и системы». – 2013. –   № 3 –  С. 61-68 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Степин В.С. XXI век – радикальная трансформация типа цивилизационного развития // Глобальный мир: системные сдвиги, вызовы и контуры будущего: XVII 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t>Международ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. Лихачев</w:t>
      </w:r>
      <w:proofErr w:type="gramStart"/>
      <w:r w:rsidRPr="005C730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C7302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5C7302">
        <w:rPr>
          <w:rFonts w:ascii="Times New Roman" w:eastAsia="Calibri" w:hAnsi="Times New Roman" w:cs="Times New Roman"/>
          <w:sz w:val="28"/>
          <w:szCs w:val="28"/>
        </w:rPr>
        <w:t>ауч. чтения (18–20 мая 2017 г.). СПб</w:t>
      </w:r>
      <w:proofErr w:type="gramStart"/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5C7302">
        <w:rPr>
          <w:rFonts w:ascii="Times New Roman" w:eastAsia="Calibri" w:hAnsi="Times New Roman" w:cs="Times New Roman"/>
          <w:sz w:val="28"/>
          <w:szCs w:val="28"/>
        </w:rPr>
        <w:t>СПбГУП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, 2017 С. 185–188.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Глушенко С.А. — Анализ программных средств реализации нечетких экспертных систем // Программные системы и вычислительные методы. – 2017. – № 4. – С. 77 - 88. 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Шабунин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А.В. SIRS модель распространения инфекций с динамическим регулированием численности популяции: исследование методом вероятностных клеточных автоматов // Известия ВУЗов Прикладная нелинейная динамика. 2019. T. 27. № 2. C. 5-20. </w:t>
      </w:r>
    </w:p>
    <w:p w:rsidR="005C7302" w:rsidRPr="004C0A9E" w:rsidRDefault="005C7302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2B06" w:rsidRPr="004C0A9E" w:rsidRDefault="000F2B06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23AC5" w:rsidRPr="004C0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984"/>
    <w:multiLevelType w:val="hybridMultilevel"/>
    <w:tmpl w:val="618E0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4C0A9E"/>
    <w:rsid w:val="004C4DE4"/>
    <w:rsid w:val="00523AC5"/>
    <w:rsid w:val="005C7302"/>
    <w:rsid w:val="00680788"/>
    <w:rsid w:val="007F39F8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stations.com/" TargetMode="External"/><Relationship Id="rId13" Type="http://schemas.openxmlformats.org/officeDocument/2006/relationships/hyperlink" Target="https://habr.com/ru/company/trinion/" TargetMode="External"/><Relationship Id="rId18" Type="http://schemas.openxmlformats.org/officeDocument/2006/relationships/hyperlink" Target="https://habr.com/ru/company/dell_technologies/blog/406841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habr.com/ru/company/dell_technologies/blog/409401" TargetMode="External"/><Relationship Id="rId7" Type="http://schemas.openxmlformats.org/officeDocument/2006/relationships/hyperlink" Target="http://www.chemstations.com/" TargetMode="External"/><Relationship Id="rId12" Type="http://schemas.openxmlformats.org/officeDocument/2006/relationships/hyperlink" Target="https://tass.ru/interviews/11032409" TargetMode="External"/><Relationship Id="rId17" Type="http://schemas.openxmlformats.org/officeDocument/2006/relationships/hyperlink" Target="https://habr.com/company/dell_technologi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habr.com/ru/company/trinion/" TargetMode="External"/><Relationship Id="rId20" Type="http://schemas.openxmlformats.org/officeDocument/2006/relationships/hyperlink" Target="https://habr.com/company/dell_technologie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spentech.com/brochures/HYSYS.pdf" TargetMode="External"/><Relationship Id="rId11" Type="http://schemas.openxmlformats.org/officeDocument/2006/relationships/hyperlink" Target="https://www.tadviser.ru/index.php/%D0%92%D0%BB%D0%B0%D0%B4%D0%B8%D0%BC%D0%B8%D1%8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abr.com/ru/company/lanit/blog/351870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tadviser.ru/index.php/%D0%9C%D0%BE%D1%81%D0%BA%D0%B2%D0%B5" TargetMode="External"/><Relationship Id="rId19" Type="http://schemas.openxmlformats.org/officeDocument/2006/relationships/hyperlink" Target="https://habr.com/ru/company/trin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ftware.schneider-electric.com/products/simsci/design/pro-ii/" TargetMode="External"/><Relationship Id="rId14" Type="http://schemas.openxmlformats.org/officeDocument/2006/relationships/hyperlink" Target="https://habr.com/company/lanit/" TargetMode="External"/><Relationship Id="rId22" Type="http://schemas.openxmlformats.org/officeDocument/2006/relationships/hyperlink" Target="http://www.swsys.ru/index.php?page=infou&amp;id=6655&amp;lang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2022-01-23T13:30:00Z</dcterms:created>
  <dcterms:modified xsi:type="dcterms:W3CDTF">2022-01-23T14:13:00Z</dcterms:modified>
</cp:coreProperties>
</file>