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220" w:rsidRPr="00277220" w:rsidRDefault="00277220" w:rsidP="00277220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277220">
        <w:rPr>
          <w:rFonts w:ascii="Times New Roman" w:eastAsia="Calibri" w:hAnsi="Times New Roman" w:cs="Times New Roman"/>
          <w:b/>
          <w:sz w:val="28"/>
          <w:szCs w:val="28"/>
        </w:rPr>
        <w:t>BC/NW 2024№ 1 (41):</w:t>
      </w: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9</w:t>
      </w:r>
      <w:r w:rsidRPr="00277220">
        <w:rPr>
          <w:rFonts w:ascii="Times New Roman" w:eastAsia="Calibri" w:hAnsi="Times New Roman" w:cs="Times New Roman"/>
          <w:b/>
          <w:sz w:val="28"/>
          <w:szCs w:val="28"/>
        </w:rPr>
        <w:t>.1</w:t>
      </w:r>
    </w:p>
    <w:p w:rsidR="003915D0" w:rsidRDefault="00242C61" w:rsidP="00010D39">
      <w:pPr>
        <w:widowControl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ИМИТАЦИОННОЕ МОДЕЛИРОВАНИЕ БИЗНЕСА С ПОМОЩЬЮ ИНСТРУМЕНТАЛЬНОЙ СРЕДЫ «GPSS WORLD» ДЛЯ ПРЕОДОЛЕНИЯ РИСКОВ</w:t>
      </w:r>
    </w:p>
    <w:p w:rsidR="003915D0" w:rsidRDefault="00E7154F" w:rsidP="00242C61">
      <w:pPr>
        <w:pStyle w:val="af5"/>
        <w:spacing w:after="0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Семочкина Е.В.</w:t>
      </w:r>
    </w:p>
    <w:p w:rsidR="003915D0" w:rsidRPr="00F25FD4" w:rsidRDefault="00E7154F" w:rsidP="00010D39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25FD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Аннотация.</w:t>
      </w:r>
      <w:r w:rsidRPr="00F25FD4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 xml:space="preserve"> </w:t>
      </w:r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Условия СВО, санкции со стороны стран НАТО и проявления экологического кризиса, пандемия covid-19 дополнительно стимулируют применение имитационного  моделирования. Современные технологии  позволяют снижать управленческие риски [5] в сложных ситуациях, облегчая процесс принятия решений.</w:t>
      </w:r>
    </w:p>
    <w:p w:rsidR="003915D0" w:rsidRPr="00F25FD4" w:rsidRDefault="00E7154F" w:rsidP="00010D39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Рассмотрен частный случай автоматизации задач  системного анализа в управлении компанией из сферы рекламно-издательского бизнеса с помощью инструментальной среды «GPSS </w:t>
      </w:r>
      <w:proofErr w:type="spellStart"/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World</w:t>
      </w:r>
      <w:proofErr w:type="spellEnd"/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»</w:t>
      </w:r>
      <w:r w:rsidRPr="00F25F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5F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[2], [3]</w:t>
      </w:r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.</w:t>
      </w:r>
    </w:p>
    <w:p w:rsidR="003915D0" w:rsidRDefault="00E7154F" w:rsidP="00010D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5FD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Прогноз рабочих процессов, показал  необходимость дополнительного найма высококвалифицированного журналиста  и замены одного из двух верстальщиков дизайнером для обеспечения своевременного выполнения заказов, если отдел продаж из трех менеджеров, осуществляющих продажи на входящих телефонных звонках, будет действовать эффективно (порядка 500 заказов в месяц,  например, в активное для бизнеса время – месяцы февраль-апрель или сентябрь-ноябрь). Можно заключить договор с журналистом, дизайнером и одним из верстальщиков на год на половину ставки по причине их меньшей занятости по сравнению с остальными работниками.</w:t>
      </w:r>
    </w:p>
    <w:p w:rsidR="003915D0" w:rsidRDefault="00E7154F" w:rsidP="00010D39">
      <w:pPr>
        <w:widowControl w:val="0"/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Информация предназначена для представителей компаний из сферы бизнеса и студентов направлений подготовки «Управленческий консалтинг», «Прикладная информатика», «Бизнес информатика»,  «Информационные системы и технологии».</w:t>
      </w:r>
    </w:p>
    <w:p w:rsidR="003915D0" w:rsidRPr="00277220" w:rsidRDefault="003915D0" w:rsidP="00010D39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цивилизации в России происходят в условиях СВО, санкций со стороны стран НАТО и проявления экологического кризиса. Необходимо применение нано,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инфо,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когно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 (NBIC –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technologis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для организации работы компаний на современном уровне [7], в частности: «Экономический и управленческий потенциал организации во все большей степени зависит от способности менеджеров контролировать информацию, манипулировать ею, нацеливать персонал на наиболее эффективное использование ресурсов [4]».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принципов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риск-менеджмента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звучит: «думать о последствиях и осуществлять прогнозирование» [5]. Имитационное моделирование благодаря прогнозированию ситуаций в соответствии с действующими закономерностями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имеет прямое отношение к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риск-менеджменту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«Знания (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knowledge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это информация в контексте, способная произвести побуждающее к действиям понимание» [1], понимание, которое дают результаты анализа бизнес-процессов и прогноза последствий при определенных условиях, дает возможность управлять рисками.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Постановка задачи.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Спрогнозировать работу отделов компании рекламно-издательского бизнеса с помощью имитационных моделей, выполненных в студенческой (бесплатно распространяемой) версии  инструментальной среды «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GPSS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» ([2], [3]).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Исследовать телефонные продажи на «входящих звонках» при оформлении 500 заказов в активное для бизнеса время и 270 заказов во время спада. Кроме того рассмотреть работу отделов, обслуживающих заказы, во время обработки 500 и 270 заказов.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Воспользуемся имитационными моделями, приведенными в  источнике [6].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моделируемых процессов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группы из трех менеджеров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продажам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(источник [6]). 3 номера телефонов указаны в газете для обращения в отдел рекламы.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Общение с потенциальным клиентом при маленьком заказе: менеджер представляется, задает типовые, уточняющие вопросы 2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0.5 мин, описывает возможности заказа 3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0.5 мин, оформляет маленький заказ 3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мин. При оформлении среднего заказа менеджер представляется и задает вопросы 2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0.5 мин, описывает возможности заказа 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0.5 мин, оформляет заказ 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мин. При обсуждении крупного заказа менеджер представляется и задает вопросы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0.5 мин, описывает возможности заказа 10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мин, оформляет большой заказ 10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мин.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Вероятность мелких заказов - 0.5. Суммарная вероятность средних и крупных заказов - 0.5. Она делится в пропорции: 0.7 - вероятность средних заказов и 0.3 – вероятность крупных заказов.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Вероятности прихода звонков на первый телефон - 0.5. Оставшаяся половина потока звонков приходится на второй и третий телефон суммарно. Причем на второй телефон приходится 0.3 звонков от половины, и на третий 0.7 от половины соответственно.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рис.1 приводится схема работы менеджеров (и движения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транзактов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7CEC63A8" wp14:editId="13B82908">
                <wp:extent cx="5524500" cy="3566160"/>
                <wp:effectExtent l="0" t="0" r="25400" b="25400"/>
                <wp:docPr id="1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524500" cy="35661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5.00pt;height:280.80pt;mso-wrap-distance-left:0.00pt;mso-wrap-distance-top:0.00pt;mso-wrap-distance-right:0.00pt;mso-wrap-distance-bottom:0.00pt;" strokecolor="#000000" strokeweight="1.00pt">
                <v:path textboxrect="0,0,0,0"/>
                <v:imagedata r:id="rId12" o:title=""/>
              </v:shape>
            </w:pict>
          </mc:Fallback>
        </mc:AlternateConten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 Принципиальная схема движения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транзактов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работы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менеджеров [6]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Применим программный код, опубликованный в  указанном источнике.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GPSS World Simulation Report - Study manager group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Thursday, February 23, 2023 13:37:22  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START TIME           END TIME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BLOCKS  FACILITIES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STORAGES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0.000               7181.017               99                     1                     4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D1CEE">
        <w:rPr>
          <w:rFonts w:ascii="Times New Roman" w:hAnsi="Times New Roman" w:cs="Times New Roman"/>
          <w:sz w:val="28"/>
          <w:szCs w:val="28"/>
          <w:lang w:val="en-US"/>
        </w:rPr>
        <w:t xml:space="preserve">STORAGE            CAP. REM. MIN. MAX.  </w:t>
      </w:r>
      <w:proofErr w:type="gramStart"/>
      <w:r w:rsidRPr="006D1CEE">
        <w:rPr>
          <w:rFonts w:ascii="Times New Roman" w:hAnsi="Times New Roman" w:cs="Times New Roman"/>
          <w:sz w:val="28"/>
          <w:szCs w:val="28"/>
          <w:lang w:val="en-US"/>
        </w:rPr>
        <w:t>ENTRIES  AVL</w:t>
      </w:r>
      <w:proofErr w:type="gramEnd"/>
      <w:r w:rsidRPr="006D1CEE">
        <w:rPr>
          <w:rFonts w:ascii="Times New Roman" w:hAnsi="Times New Roman" w:cs="Times New Roman"/>
          <w:sz w:val="28"/>
          <w:szCs w:val="28"/>
          <w:lang w:val="en-US"/>
        </w:rPr>
        <w:t>.  AVE.C</w:t>
      </w:r>
      <w:proofErr w:type="gramStart"/>
      <w:r w:rsidRPr="006D1CEE">
        <w:rPr>
          <w:rFonts w:ascii="Times New Roman" w:hAnsi="Times New Roman" w:cs="Times New Roman"/>
          <w:sz w:val="28"/>
          <w:szCs w:val="28"/>
          <w:lang w:val="en-US"/>
        </w:rPr>
        <w:t>.  UTIL</w:t>
      </w:r>
      <w:proofErr w:type="gramEnd"/>
      <w:r w:rsidRPr="006D1CE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915D0" w:rsidRPr="006D1CEE" w:rsidRDefault="00E7154F" w:rsidP="006D1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  <w:lang w:val="en-US"/>
        </w:rPr>
        <w:t xml:space="preserve"> SPEAKER</w:t>
      </w:r>
      <w:r w:rsidRPr="006D1CEE">
        <w:rPr>
          <w:rFonts w:ascii="Times New Roman" w:hAnsi="Times New Roman" w:cs="Times New Roman"/>
          <w:sz w:val="28"/>
          <w:szCs w:val="28"/>
        </w:rPr>
        <w:t xml:space="preserve">1            500     500      0          1             236      1       0.481     0.001        </w:t>
      </w:r>
    </w:p>
    <w:p w:rsidR="003915D0" w:rsidRPr="006D1CEE" w:rsidRDefault="00E7154F" w:rsidP="006D1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 </w:t>
      </w:r>
      <w:r w:rsidRPr="006D1CEE">
        <w:rPr>
          <w:rFonts w:ascii="Times New Roman" w:hAnsi="Times New Roman" w:cs="Times New Roman"/>
          <w:sz w:val="28"/>
          <w:szCs w:val="28"/>
          <w:lang w:val="en-US"/>
        </w:rPr>
        <w:t>SPEAKER</w:t>
      </w:r>
      <w:r w:rsidRPr="006D1CEE">
        <w:rPr>
          <w:rFonts w:ascii="Times New Roman" w:hAnsi="Times New Roman" w:cs="Times New Roman"/>
          <w:sz w:val="28"/>
          <w:szCs w:val="28"/>
        </w:rPr>
        <w:t xml:space="preserve">2            500     500      0          1               80      1       0.164     0.000       </w:t>
      </w:r>
    </w:p>
    <w:p w:rsidR="003915D0" w:rsidRPr="006D1CEE" w:rsidRDefault="00E7154F" w:rsidP="006D1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 </w:t>
      </w:r>
      <w:r w:rsidRPr="006D1CEE">
        <w:rPr>
          <w:rFonts w:ascii="Times New Roman" w:hAnsi="Times New Roman" w:cs="Times New Roman"/>
          <w:sz w:val="28"/>
          <w:szCs w:val="28"/>
          <w:lang w:val="en-US"/>
        </w:rPr>
        <w:t>SPEAKER</w:t>
      </w:r>
      <w:r w:rsidRPr="006D1CEE">
        <w:rPr>
          <w:rFonts w:ascii="Times New Roman" w:hAnsi="Times New Roman" w:cs="Times New Roman"/>
          <w:sz w:val="28"/>
          <w:szCs w:val="28"/>
        </w:rPr>
        <w:t xml:space="preserve">3            500     500      0          1             184      1       0.355     0.001        </w:t>
      </w:r>
    </w:p>
    <w:p w:rsidR="003915D0" w:rsidRPr="006D1CEE" w:rsidRDefault="00E7154F" w:rsidP="006D1CE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 </w:t>
      </w:r>
      <w:r w:rsidRPr="006D1CEE">
        <w:rPr>
          <w:rFonts w:ascii="Times New Roman" w:hAnsi="Times New Roman" w:cs="Times New Roman"/>
          <w:sz w:val="28"/>
          <w:szCs w:val="28"/>
          <w:lang w:val="en-US"/>
        </w:rPr>
        <w:t>DIRECTSALE</w:t>
      </w:r>
      <w:r w:rsidRPr="006D1CEE">
        <w:rPr>
          <w:rFonts w:ascii="Times New Roman" w:hAnsi="Times New Roman" w:cs="Times New Roman"/>
          <w:sz w:val="28"/>
          <w:szCs w:val="28"/>
        </w:rPr>
        <w:t xml:space="preserve">        500    500      0           1            500       1       1.000    0.002    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7181 мин первый менеджер оформит 236 заказов, второй – 80 заказов и третий – 184 заказа. Сумма равна 500.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пятидневную рабочую неделю,  8 часовой рабочий день с перерывом на обед  45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мин, время  технических перерывов - 12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мин., получим, что 500 заказов группа оформит приблизительно за 17 дней. Известно, что  в ряде компаний менеджеры помимо оформления заказов согласуют макеты своих клиентов после  верстки, поскольку у них хороший “контакт” с клиентами. Вместе с тем при пятидневной рабочей неделе ежемесячно выпадает от 21 до 23 трудовых дней, если праздники не приходятся на будние дни.  Если менеджеры  согласуют макеты сами, то 500 заказов группа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оформит приблизительно за месяц. Поручение же согласования макетов техническому секретарю высвободит время для оформления дополнительных заказов.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транзакта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заказа при работе отделов, осуществляющих обслуживание заказов, происходит согласно схеме, изображенной на рис. 2 [6].</w:t>
      </w:r>
    </w:p>
    <w:p w:rsidR="003915D0" w:rsidRPr="006D1CEE" w:rsidRDefault="00E7154F" w:rsidP="006D1CEE">
      <w:pPr>
        <w:pStyle w:val="af7"/>
        <w:widowControl w:val="0"/>
        <w:spacing w:line="276" w:lineRule="auto"/>
        <w:jc w:val="both"/>
      </w:pPr>
      <w:r w:rsidRPr="006D1CEE">
        <w:rPr>
          <w:noProof/>
        </w:rPr>
        <mc:AlternateContent>
          <mc:Choice Requires="wpg">
            <w:drawing>
              <wp:inline distT="0" distB="0" distL="0" distR="0" wp14:anchorId="1B0ADB45" wp14:editId="0A8AA4DC">
                <wp:extent cx="6195060" cy="2499360"/>
                <wp:effectExtent l="0" t="0" r="25400" b="25400"/>
                <wp:docPr id="2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4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95060" cy="24993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  <a:effectLst/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7.80pt;height:196.80pt;mso-wrap-distance-left:0.00pt;mso-wrap-distance-top:0.00pt;mso-wrap-distance-right:0.00pt;mso-wrap-distance-bottom:0.00pt;" strokecolor="#000000" strokeweight="1.00pt">
                <v:path textboxrect="0,0,0,0"/>
                <v:imagedata r:id="rId14" o:title=""/>
              </v:shape>
            </w:pict>
          </mc:Fallback>
        </mc:AlternateConten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Рисунок.2 Движение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транзакта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модели [6]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моделируемых процессов.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Половина заказов оплачивается перечислением денежных средств - помощник менеджера выставляет счет по факсу за 1.5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0.1 мин. Потом он запечатывает оригинал документа в конверт, надписывает его и относит секретарю для отправки почтой за 1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0.1 мин. При оплате наличными денежными средствами  помощник менеджера оформляет заявки на поездки курьера (за 3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 на заявку).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Заявки в специальной службе группируют и посылают с ними курьера.</w:t>
      </w:r>
      <w:r w:rsidR="00BA2C94"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этой статистики не приводятся: его поездка не влияет на длительность производства (выпуска) газеты.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10% заказов пишутся  статьи. Время, затрачиваемое одним журналистом на заметку, - 360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мин. Число журналистов в редакции газеты позволяет в среднем каждые 120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мин. сдавать в производство статью. Для 90% заказов машинистка набирает текст. Время набора  зависит от величины текста. Вероятность маленьких текстов - 0.5. Суммарная вероятность средних и крупных текстов - 0.5. Она делится в пропорции: 0.7 - вероятность средних текстов и 0.3 – вероятность крупных текстов. Маленький текст печатается 3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мин, средний - 5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1.5 мин, а большой - 9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мин. Статьи и тексты после набора машинистки поступают на верстку.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Два верстальщика изготавливают макеты модульных и строчных объявлений, а также макеты статей.  Время верстки макета зависит от его величины. Вероятность маленьких макетов - 0.5. Суммарная вероятность средних и крупных макетов - 0.5. Она делится в пропорции: 0.7 - вероятность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средних макетов и 0.3 – вероятность крупных макетов. Маленький макет изготавливается за 3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мин, средний - 5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мин, а большой - 10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3 мин. Время вывода газеты на пленки – 45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8 мин.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Указанные выше упрощения актуальны для моделирования выпуска газеты  издательским домом: в нем достаточно  исполнителей.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ежедневных обеденных перерывов сотрудников - 45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15 мин., а технических перерывов - 9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листинга - результата применения программы, опубликованной  в источнике [6], для обработки 500 заказов: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GPSS World Simulation Report - ODERS SERVICE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500  orders</w:t>
      </w:r>
      <w:proofErr w:type="gramEnd"/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Thursday, February 23, 2023 17:40:18  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START TIME         END TIME    BLOCKS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FACILITIES  STORAGES</w:t>
      </w:r>
      <w:proofErr w:type="gramEnd"/>
    </w:p>
    <w:p w:rsidR="003915D0" w:rsidRPr="006D1CEE" w:rsidRDefault="00E7154F" w:rsidP="006D1CEE">
      <w:pPr>
        <w:widowControl w:val="0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0.000            12078.356              101                      1                    6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 листинга: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STORAGE      CAP.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REM.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MAX.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ENTRIES  AVL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 AVE.C.   UTIL. SETS                   500    241         0       260             499        1    147.224     0.294</w:t>
      </w:r>
      <w:r w:rsidRPr="006D1CE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METS                 500    500         0           1             259        1        0.022     0.000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LETS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500    115         0       386             500        1    210.459     0.421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KETS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500    500         0           1             500        1         0.195    0.000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RESTTIME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500    500         0           1               33        1         0.146    0.000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TRANSTIME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500    500         0           1                 3        1         0.011    0.000    </w:t>
      </w:r>
    </w:p>
    <w:p w:rsidR="003915D0" w:rsidRPr="006D1CEE" w:rsidRDefault="003915D0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12078 мин отделы обслуживания заказов изготовят макеты, напишут статьи и обеспечат оплату рекламы. Учитывая описанную выше схему бизнес-процесса, это потребует  29 дней.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Этот результат не удовлетворителен, ввиду превышения числа рабочих дней. Очевидно, что наиболее длительные процессы – написание статей и верстку макетов – необходимо «ускорить».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нанять на работу дополнительно журналиста высокой квалификации, то среднее время написания статьи должно измениться. Оно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станет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равным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70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25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новой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имитации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GPSS World Simulation Report - ODERS SERVICE 500 orders more journalists and layout designer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Thursday, February 23, 2023 18:45:15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 TIME           END TIME    BLOCKS    FACILITIES    STORAGES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0.000              10213.606               101                       1                      6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 листинга: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STORAGE       CAP.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REM.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MAX.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ENTRIES   AVL.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AVE.C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 UTIL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 xml:space="preserve">SETS                 500       243        0      257         499          1         125.786   0.252   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METS               500       500        0         1          257          1             0.025   0.000    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LETS                 500       124        0     377          500          1         190.044   0.380   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KETS                500       500        0         1          500          1            0.230    0.000   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RESTTIME       500      500        0         1            33          1            0.168    0.000    </w:t>
      </w:r>
    </w:p>
    <w:p w:rsidR="003915D0" w:rsidRPr="006D1CEE" w:rsidRDefault="00E7154F" w:rsidP="006D1CEE">
      <w:pPr>
        <w:widowControl w:val="0"/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TRANSTIME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500      500        0         1              3          1            0.014    0.000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Отделы обслуживания заказов завершат работу над 500 заказами за   10214 мин. Это 24 обсуждаемых рабочих дня. </w:t>
      </w: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все еще не подходит.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Заменим верстальщика дизайнером. Основная его задача - более сложные макеты, но при малом количестве художественной работы дизайнер будет  верстать и обычные макеты. Тогда средние времена верстки  уменьшатся </w:t>
      </w:r>
      <w:r w:rsidRPr="00F25FD4">
        <w:rPr>
          <w:rFonts w:ascii="Times New Roman" w:eastAsia="Times New Roman" w:hAnsi="Times New Roman" w:cs="Times New Roman"/>
          <w:sz w:val="28"/>
          <w:szCs w:val="28"/>
          <w:lang w:eastAsia="ru-RU"/>
        </w:rPr>
        <w:t>(дизайнер работает и качественнее, и быстрее): маленький макет будет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изготавливаться за 2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мин, средний - 4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1 мин, а большой - 8</w:t>
      </w:r>
      <w:r w:rsidRPr="006D1C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2 мин.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указанной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имитации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GPSS World Simulation Report - ODERS SERVICE 500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orders  +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journalist+designer</w:t>
      </w:r>
      <w:proofErr w:type="spellEnd"/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Thursday, February 23, 2023 19:54:23  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START TIME       END TIME    BLOCKS 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FACILITIES  STORAGES</w:t>
      </w:r>
      <w:proofErr w:type="gramEnd"/>
    </w:p>
    <w:p w:rsidR="003915D0" w:rsidRPr="006D1CEE" w:rsidRDefault="00E7154F" w:rsidP="006D1CEE">
      <w:pPr>
        <w:widowControl w:val="0"/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0.000           9723.900               101                     1                      6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Отделы обслуживания заказов завершат работу над 500 заказами за   9723 мин. Получится 23 рабочих дня. </w:t>
      </w: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приемлем.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квалифицированный сотрудник сильнее ускоряет рабочий процесс.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дальнейшего сокращения временных затрат необходимо учитывать индивидуальную результативность работников. Это могут показать замеры  времени работы конкретных сотрудников с помощью хронометра.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спада в бизнесе по телефонам в издательство звонят редко, в программный код модели телефонных продаж вставим GENERATE 35,10 вместо  GENERATE (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Exponential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(1,0,0.5)). Зададим START 270 вместо START 500  и получим результат, приводимый ниже.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листинга: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GPSS World Simulation Report - Study manager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Abrosimov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group in recession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Friday, February 24, 2023 16:15:38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START TIME          END TIME 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BLOCKS  FACILITIES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STORAGES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0.000              9535.522                99                      1                    4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STORAGE            CAP.  REM. MIN. MAX.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ENTRIES AVL.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AVE.C. UTIL.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SPEAKER1          500       500        0         1            144        1      0.223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SPEAKER2          500       500        0         1              37        1      0.048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SPEAKER3          500       500        0         1              89        1      0.125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DIRECTSALE      500       500       0         1             270        1      0.396   0.001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менеджеров оформит 270 заказов за 9535 мин.    При описанной выше организации работы это составит 22,7 дня. При спаде бизнеса 270 заказов в месяц может быть  оформлено отделом продаж.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работы отделов обслуживания  спрогнозирует, насколько штатный состав справляется с полученными заказами.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GPSS World Simulation Report - ODERS SERVICE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270  orders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</w:t>
      </w:r>
    </w:p>
    <w:p w:rsidR="003915D0" w:rsidRPr="006D1CEE" w:rsidRDefault="00E7154F" w:rsidP="006D1CEE">
      <w:pPr>
        <w:widowControl w:val="0"/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Friday, February 24, 2023 16:34:15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START TIME          END TIME   BLOCKS 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FACILITIES  STORAGES</w:t>
      </w:r>
      <w:proofErr w:type="gramEnd"/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0.000             5504.712             101                       1                  6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листинга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STORAGE            CAP. REM. MIN. MAX.  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ENTRIES AVL.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AVE.C</w:t>
      </w:r>
      <w:proofErr w:type="gramStart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  UTIL</w:t>
      </w:r>
      <w:proofErr w:type="gramEnd"/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SETS                    500     352        0      149        270         1     77.656     0.155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METS                   500     500       0           1       148          1      0.027   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LETS                    500     293       0       207       271          1    106.550     0.213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KETS                    500     500       0          1        270          1      0.223       0.000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RESTTIME          500      500       0          1         18          1      0.170       0.000   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TRANSTIME       500      500       0          1           1          1      0.008       0.000    </w:t>
      </w:r>
    </w:p>
    <w:p w:rsidR="003915D0" w:rsidRPr="006D1CEE" w:rsidRDefault="003915D0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Отделы обслуживания заказов завершат работу над 270 заказами за   5505 мин. Получится 13 рабочих дней. </w:t>
      </w: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 время спада активности отделы, обслуживающие заказы, недогружены, часть времени отдыхают (и, естественно, дополнительный журналист и замена верстальщика дизайнером не нужны).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 из сказанного выше: </w:t>
      </w: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дополнительного журналиста и  дизайнера можно оформить на половину ставки, как и одного из верстальщиков, если заключается договор длительностью более половины года. (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работники необходимы только в определенные периоды работы...) Такое решение адекватно для малобюджетных компаний.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эти действия не актуальны для более крупного бизнеса: во время спада можно загрузить указанных работников выполнением редакционных заданий. Журналисту поставить задачу написания аналитической статьи. Дизайнеру и верстальщику в соответствии со сложностью задач поручить верстку редакционных статей и заметок, анонсов.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Выводы.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технологии  позволяют снижать управленческие риски  в сложных ситуациях, предоставляя недостающую информацию для принятия решений.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статье рассмотрен пример прогнозирования результатов работы отделов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компании из сферы рекламно-издательского бизнеса с помощью инструментальной среды «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GPSS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CE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World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Проведенное исследование, показало  </w:t>
      </w:r>
      <w:r w:rsidRPr="006D1C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необходимость </w:t>
      </w: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найма высококвалифицированного журналиста  и замены одного из двух верстальщиков дизайнером для обеспечения своевременного выполнения заказов, если отдел продаж из трех менеджеров, осуществляющих продажи на потоке входящих звонков, будет действовать эффективно (порядка 500 заказов в месяц). Можно заранее поставить  перед отделом кадров задачу поиска высококвалифицированных специалистов названных профилей. Следующим шагом - заключить договор с журналистом, дизайнером и одним из верстальщиков на год на половину ставки (загрузка производства в феврале-апреле, сентябре-ноябре отличается от таковой в  декабре-январе и мае-августе).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дополнительных средств компании часто выбирают другой путь: </w:t>
      </w:r>
      <w:proofErr w:type="spellStart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найм</w:t>
      </w:r>
      <w:proofErr w:type="spellEnd"/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полную ставку и увеличение нагрузки редакционными заданиями в дополнение к заданиям отдела продаж.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 предназначена для представителей компаний  рекламно-издательского бизнеса и студентов направлений подготовки «Управленческий консалтинг», «Прикладная информатика», «Бизнес информатика»,  «Информационные системы и технологии».</w:t>
      </w:r>
    </w:p>
    <w:p w:rsidR="003915D0" w:rsidRPr="006D1CEE" w:rsidRDefault="00E7154F" w:rsidP="006D1CEE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CE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  <w:lang w:val="en-US"/>
        </w:rPr>
        <w:t> </w:t>
      </w:r>
    </w:p>
    <w:p w:rsidR="003915D0" w:rsidRPr="006D1CEE" w:rsidRDefault="00E7154F" w:rsidP="006D1CEE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C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3915D0" w:rsidRPr="006D1CEE" w:rsidRDefault="00E7154F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Вебер А.В., Данилов А.Д., Шифрин С.И. </w:t>
      </w:r>
      <w:r w:rsidRPr="006D1CEE">
        <w:rPr>
          <w:rFonts w:ascii="Times New Roman" w:hAnsi="Times New Roman" w:cs="Times New Roman"/>
          <w:sz w:val="28"/>
          <w:szCs w:val="28"/>
          <w:lang w:val="en-US"/>
        </w:rPr>
        <w:t>Knowledge</w:t>
      </w:r>
      <w:r w:rsidRPr="006D1CEE">
        <w:rPr>
          <w:rFonts w:ascii="Times New Roman" w:hAnsi="Times New Roman" w:cs="Times New Roman"/>
          <w:sz w:val="28"/>
          <w:szCs w:val="28"/>
        </w:rPr>
        <w:t>-технологии в консалтинге и управлении предприятием. – СПб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D1CEE">
        <w:rPr>
          <w:rFonts w:ascii="Times New Roman" w:hAnsi="Times New Roman" w:cs="Times New Roman"/>
          <w:sz w:val="28"/>
          <w:szCs w:val="28"/>
        </w:rPr>
        <w:t>Наука и техника. 2003.</w:t>
      </w:r>
    </w:p>
    <w:p w:rsidR="003915D0" w:rsidRPr="006D1CEE" w:rsidRDefault="0023691E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5" w:tooltip="https://znanium.com/catalog/author/32e52fdd-a6d6-11e4-a7c9-90b11c31de4c" w:history="1">
        <w:r w:rsidR="00E7154F" w:rsidRPr="006D1CEE">
          <w:rPr>
            <w:rFonts w:ascii="Times New Roman" w:hAnsi="Times New Roman" w:cs="Times New Roman"/>
            <w:sz w:val="28"/>
            <w:szCs w:val="28"/>
          </w:rPr>
          <w:t>Воробейчиков Л.А.,</w:t>
        </w:r>
      </w:hyperlink>
      <w:r w:rsidR="00E7154F" w:rsidRPr="006D1CEE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https://znanium.com/catalog/author/32e52fdc-a6d6-11e4-a7c9-90b11c31de4c" w:history="1">
        <w:r w:rsidR="00E7154F" w:rsidRPr="006D1CEE">
          <w:rPr>
            <w:rFonts w:ascii="Times New Roman" w:hAnsi="Times New Roman" w:cs="Times New Roman"/>
            <w:sz w:val="28"/>
            <w:szCs w:val="28"/>
          </w:rPr>
          <w:t>Сосновиков Г.К</w:t>
        </w:r>
      </w:hyperlink>
      <w:r w:rsidR="00E7154F" w:rsidRPr="006D1CEE">
        <w:rPr>
          <w:rFonts w:ascii="Times New Roman" w:hAnsi="Times New Roman" w:cs="Times New Roman"/>
          <w:sz w:val="28"/>
          <w:szCs w:val="28"/>
        </w:rPr>
        <w:t xml:space="preserve">. Компьютерное моделирование.  Практикум по имитационному моделированию в среде GPSS </w:t>
      </w:r>
      <w:proofErr w:type="spellStart"/>
      <w:r w:rsidR="00E7154F" w:rsidRPr="006D1CEE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="00E7154F" w:rsidRPr="006D1CEE">
        <w:rPr>
          <w:rFonts w:ascii="Times New Roman" w:hAnsi="Times New Roman" w:cs="Times New Roman"/>
          <w:sz w:val="28"/>
          <w:szCs w:val="28"/>
        </w:rPr>
        <w:t xml:space="preserve">. Учебное пособие – </w:t>
      </w:r>
      <w:proofErr w:type="spellStart"/>
      <w:r w:rsidR="00E7154F" w:rsidRPr="006D1CEE">
        <w:rPr>
          <w:rFonts w:ascii="Times New Roman" w:hAnsi="Times New Roman" w:cs="Times New Roman"/>
          <w:sz w:val="28"/>
          <w:szCs w:val="28"/>
        </w:rPr>
        <w:t>М.:Форум</w:t>
      </w:r>
      <w:proofErr w:type="spellEnd"/>
      <w:r w:rsidR="00E7154F" w:rsidRPr="006D1CEE">
        <w:rPr>
          <w:rFonts w:ascii="Times New Roman" w:hAnsi="Times New Roman" w:cs="Times New Roman"/>
          <w:sz w:val="28"/>
          <w:szCs w:val="28"/>
        </w:rPr>
        <w:t>, НИЦ ИНФРА-М, 2015.112 с.</w:t>
      </w:r>
    </w:p>
    <w:p w:rsidR="003915D0" w:rsidRPr="006D1CEE" w:rsidRDefault="00E7154F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Заборовский В.С., Ильяшенко А.С., </w:t>
      </w:r>
      <w:proofErr w:type="spellStart"/>
      <w:r w:rsidRPr="006D1CEE">
        <w:rPr>
          <w:rFonts w:ascii="Times New Roman" w:hAnsi="Times New Roman" w:cs="Times New Roman"/>
          <w:sz w:val="28"/>
          <w:szCs w:val="28"/>
        </w:rPr>
        <w:t>Мулюха</w:t>
      </w:r>
      <w:proofErr w:type="spellEnd"/>
      <w:r w:rsidRPr="006D1CEE">
        <w:rPr>
          <w:rFonts w:ascii="Times New Roman" w:hAnsi="Times New Roman" w:cs="Times New Roman"/>
          <w:sz w:val="28"/>
          <w:szCs w:val="28"/>
        </w:rPr>
        <w:t xml:space="preserve"> В.А. Имитационное моделирование </w:t>
      </w:r>
      <w:proofErr w:type="spellStart"/>
      <w:r w:rsidRPr="006D1CEE">
        <w:rPr>
          <w:rFonts w:ascii="Times New Roman" w:hAnsi="Times New Roman" w:cs="Times New Roman"/>
          <w:sz w:val="28"/>
          <w:szCs w:val="28"/>
        </w:rPr>
        <w:t>телематических</w:t>
      </w:r>
      <w:proofErr w:type="spellEnd"/>
      <w:r w:rsidRPr="006D1CEE">
        <w:rPr>
          <w:rFonts w:ascii="Times New Roman" w:hAnsi="Times New Roman" w:cs="Times New Roman"/>
          <w:sz w:val="28"/>
          <w:szCs w:val="28"/>
        </w:rPr>
        <w:t xml:space="preserve"> систем. Учеб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1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D1CEE">
        <w:rPr>
          <w:rFonts w:ascii="Times New Roman" w:hAnsi="Times New Roman" w:cs="Times New Roman"/>
          <w:sz w:val="28"/>
          <w:szCs w:val="28"/>
        </w:rPr>
        <w:t xml:space="preserve">особие. СПб: Изд-во </w:t>
      </w:r>
      <w:proofErr w:type="spellStart"/>
      <w:r w:rsidRPr="006D1CEE">
        <w:rPr>
          <w:rFonts w:ascii="Times New Roman" w:hAnsi="Times New Roman" w:cs="Times New Roman"/>
          <w:sz w:val="28"/>
          <w:szCs w:val="28"/>
        </w:rPr>
        <w:t>СПбГПУ</w:t>
      </w:r>
      <w:proofErr w:type="spellEnd"/>
      <w:r w:rsidRPr="006D1CEE">
        <w:rPr>
          <w:rFonts w:ascii="Times New Roman" w:hAnsi="Times New Roman" w:cs="Times New Roman"/>
          <w:sz w:val="28"/>
          <w:szCs w:val="28"/>
        </w:rPr>
        <w:t xml:space="preserve">, 2013. 58 c. </w:t>
      </w:r>
    </w:p>
    <w:p w:rsidR="003915D0" w:rsidRPr="006D1CEE" w:rsidRDefault="0023691E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hyperlink r:id="rId17" w:tooltip="https://www.studmed.ru/milner-bz-teoriya-organizacii_d27cfee00c4.html" w:history="1">
        <w:proofErr w:type="spellStart"/>
        <w:r w:rsidR="00E7154F" w:rsidRPr="006D1CEE">
          <w:rPr>
            <w:rFonts w:ascii="Times New Roman" w:hAnsi="Times New Roman" w:cs="Times New Roman"/>
            <w:sz w:val="28"/>
            <w:szCs w:val="28"/>
          </w:rPr>
          <w:t>Мильнер</w:t>
        </w:r>
        <w:proofErr w:type="spellEnd"/>
        <w:r w:rsidR="00E7154F" w:rsidRPr="006D1CEE">
          <w:rPr>
            <w:rFonts w:ascii="Times New Roman" w:hAnsi="Times New Roman" w:cs="Times New Roman"/>
            <w:sz w:val="28"/>
            <w:szCs w:val="28"/>
          </w:rPr>
          <w:t xml:space="preserve"> Б.З. Теория организации</w:t>
        </w:r>
      </w:hyperlink>
      <w:r w:rsidR="00E7154F" w:rsidRPr="006D1CEE">
        <w:rPr>
          <w:rFonts w:ascii="Times New Roman" w:hAnsi="Times New Roman" w:cs="Times New Roman"/>
          <w:sz w:val="28"/>
          <w:szCs w:val="28"/>
        </w:rPr>
        <w:t xml:space="preserve">: Учебник. – 6-е издание, </w:t>
      </w:r>
      <w:proofErr w:type="spellStart"/>
      <w:r w:rsidR="00E7154F" w:rsidRPr="006D1CE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E7154F" w:rsidRPr="006D1CEE">
        <w:rPr>
          <w:rFonts w:ascii="Times New Roman" w:hAnsi="Times New Roman" w:cs="Times New Roman"/>
          <w:sz w:val="28"/>
          <w:szCs w:val="28"/>
        </w:rPr>
        <w:t>. и доп. – М.: ИНФРА-М, 2008. -797 с.</w:t>
      </w:r>
    </w:p>
    <w:p w:rsidR="003915D0" w:rsidRPr="006D1CEE" w:rsidRDefault="00E7154F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Риск-менеджмент// </w:t>
      </w:r>
      <w:hyperlink r:id="rId18" w:tooltip="https://vk.com/away.php?to=http%3A%2F%2F%D1%EF%F0%E0%E2%EE%F7%ED%E8%EA24.%EE%ED%EB%E0%E9%ED&amp;cc_key=" w:history="1">
        <w:r w:rsidRPr="006D1CEE">
          <w:rPr>
            <w:rFonts w:ascii="Times New Roman" w:hAnsi="Times New Roman" w:cs="Times New Roman"/>
            <w:sz w:val="28"/>
            <w:szCs w:val="28"/>
          </w:rPr>
          <w:t>Справочник24.онлайн</w:t>
        </w:r>
      </w:hyperlink>
      <w:r w:rsidRPr="006D1CEE">
        <w:rPr>
          <w:rFonts w:ascii="Times New Roman" w:hAnsi="Times New Roman" w:cs="Times New Roman"/>
          <w:sz w:val="28"/>
          <w:szCs w:val="28"/>
        </w:rPr>
        <w:t>  [Электронный ресурс] - 2012 – 2022 гг. - URL:  https://spravochnick.ru/menedzhment/risk-menedzhment/ (Дата обращения 27.02.2023 г)</w:t>
      </w:r>
    </w:p>
    <w:p w:rsidR="003915D0" w:rsidRPr="006D1CEE" w:rsidRDefault="00E7154F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Семочкина Е. В. МЕТОДИКА АВТОМАТИЗАЦИИ ЗАДАЧ СИСТЕМНОГО АНАЛИЗА В УПРАВЛЕНИИ КОМПАНИЯМИ ИЗ СФЕРЫ БИЗНЕСА Электронный журнал «Вычислительные сети. </w:t>
      </w:r>
      <w:r w:rsidRPr="006D1CEE">
        <w:rPr>
          <w:rFonts w:ascii="Times New Roman" w:hAnsi="Times New Roman" w:cs="Times New Roman"/>
          <w:sz w:val="28"/>
          <w:szCs w:val="28"/>
        </w:rPr>
        <w:lastRenderedPageBreak/>
        <w:t>Теория и практика» (Свидетельство о государственной регистрации средства массовой информации Эл № 77-4740 от 10.08.2001) </w:t>
      </w:r>
      <w:hyperlink r:id="rId19" w:tooltip="http://network-journal.mpei.ac.ru/" w:history="1">
        <w:r w:rsidRPr="006D1CEE">
          <w:rPr>
            <w:rFonts w:ascii="Times New Roman" w:hAnsi="Times New Roman" w:cs="Times New Roman"/>
            <w:sz w:val="28"/>
            <w:szCs w:val="28"/>
          </w:rPr>
          <w:t>http://network-journal.mpei.ac.ru</w:t>
        </w:r>
      </w:hyperlink>
      <w:r w:rsidRPr="006D1CEE">
        <w:rPr>
          <w:rFonts w:ascii="Times New Roman" w:hAnsi="Times New Roman" w:cs="Times New Roman"/>
          <w:sz w:val="28"/>
          <w:szCs w:val="28"/>
        </w:rPr>
        <w:t> BC/NW 2020 № 1 (36):7.3</w:t>
      </w:r>
    </w:p>
    <w:p w:rsidR="003915D0" w:rsidRPr="006D1CEE" w:rsidRDefault="00E7154F" w:rsidP="006D1CEE">
      <w:pPr>
        <w:pStyle w:val="af5"/>
        <w:widowControl w:val="0"/>
        <w:numPr>
          <w:ilvl w:val="0"/>
          <w:numId w:val="5"/>
        </w:numPr>
        <w:spacing w:after="0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 w:rsidRPr="006D1CEE">
        <w:rPr>
          <w:rFonts w:ascii="Times New Roman" w:hAnsi="Times New Roman" w:cs="Times New Roman"/>
          <w:sz w:val="28"/>
          <w:szCs w:val="28"/>
        </w:rPr>
        <w:t xml:space="preserve">Степин В.С. XXI век – радикальная трансформация типа цивилизационного развития // Глобальный мир: системные сдвиги, вызовы и контуры будущего: XVII </w:t>
      </w:r>
      <w:proofErr w:type="spellStart"/>
      <w:r w:rsidRPr="006D1CEE">
        <w:rPr>
          <w:rFonts w:ascii="Times New Roman" w:hAnsi="Times New Roman" w:cs="Times New Roman"/>
          <w:sz w:val="28"/>
          <w:szCs w:val="28"/>
        </w:rPr>
        <w:t>Международ</w:t>
      </w:r>
      <w:proofErr w:type="spellEnd"/>
      <w:r w:rsidRPr="006D1CEE">
        <w:rPr>
          <w:rFonts w:ascii="Times New Roman" w:hAnsi="Times New Roman" w:cs="Times New Roman"/>
          <w:sz w:val="28"/>
          <w:szCs w:val="28"/>
        </w:rPr>
        <w:t>. Лихачев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D1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6D1CEE">
        <w:rPr>
          <w:rFonts w:ascii="Times New Roman" w:hAnsi="Times New Roman" w:cs="Times New Roman"/>
          <w:sz w:val="28"/>
          <w:szCs w:val="28"/>
        </w:rPr>
        <w:t>ауч. чтения (18–20 мая 2017 г.). СПб</w:t>
      </w:r>
      <w:proofErr w:type="gramStart"/>
      <w:r w:rsidRPr="006D1CE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6D1CEE">
        <w:rPr>
          <w:rFonts w:ascii="Times New Roman" w:hAnsi="Times New Roman" w:cs="Times New Roman"/>
          <w:sz w:val="28"/>
          <w:szCs w:val="28"/>
        </w:rPr>
        <w:t>СПбГУП</w:t>
      </w:r>
      <w:proofErr w:type="spellEnd"/>
      <w:r w:rsidRPr="006D1CEE">
        <w:rPr>
          <w:rFonts w:ascii="Times New Roman" w:hAnsi="Times New Roman" w:cs="Times New Roman"/>
          <w:sz w:val="28"/>
          <w:szCs w:val="28"/>
        </w:rPr>
        <w:t>, 2017 С. 185–188.</w:t>
      </w:r>
    </w:p>
    <w:p w:rsidR="003915D0" w:rsidRDefault="003915D0" w:rsidP="00010D3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15D0" w:rsidRDefault="003915D0" w:rsidP="00010D3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915D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91E" w:rsidRDefault="0023691E">
      <w:pPr>
        <w:spacing w:after="0" w:line="240" w:lineRule="auto"/>
      </w:pPr>
      <w:r>
        <w:separator/>
      </w:r>
    </w:p>
  </w:endnote>
  <w:endnote w:type="continuationSeparator" w:id="0">
    <w:p w:rsidR="0023691E" w:rsidRDefault="0023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91E" w:rsidRDefault="0023691E">
      <w:pPr>
        <w:spacing w:after="0" w:line="240" w:lineRule="auto"/>
      </w:pPr>
      <w:r>
        <w:separator/>
      </w:r>
    </w:p>
  </w:footnote>
  <w:footnote w:type="continuationSeparator" w:id="0">
    <w:p w:rsidR="0023691E" w:rsidRDefault="00236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3949"/>
    <w:multiLevelType w:val="hybridMultilevel"/>
    <w:tmpl w:val="E2A09A60"/>
    <w:lvl w:ilvl="0" w:tplc="04FA34AC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EA569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C674FE0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BEE4A5C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618FC78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E9C63D4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AAEF1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DF8362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765AE2E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C16555B"/>
    <w:multiLevelType w:val="hybridMultilevel"/>
    <w:tmpl w:val="BAE68040"/>
    <w:lvl w:ilvl="0" w:tplc="A3B037C6">
      <w:start w:val="1"/>
      <w:numFmt w:val="decimal"/>
      <w:lvlText w:val="%1."/>
      <w:lvlJc w:val="left"/>
      <w:pPr>
        <w:ind w:left="720" w:hanging="360"/>
      </w:pPr>
    </w:lvl>
    <w:lvl w:ilvl="1" w:tplc="32601AD0">
      <w:start w:val="1"/>
      <w:numFmt w:val="lowerLetter"/>
      <w:lvlText w:val="%2."/>
      <w:lvlJc w:val="left"/>
      <w:pPr>
        <w:ind w:left="1440" w:hanging="360"/>
      </w:pPr>
    </w:lvl>
    <w:lvl w:ilvl="2" w:tplc="F92EE84C">
      <w:start w:val="1"/>
      <w:numFmt w:val="lowerRoman"/>
      <w:lvlText w:val="%3."/>
      <w:lvlJc w:val="right"/>
      <w:pPr>
        <w:ind w:left="2160" w:hanging="180"/>
      </w:pPr>
    </w:lvl>
    <w:lvl w:ilvl="3" w:tplc="69541354">
      <w:start w:val="1"/>
      <w:numFmt w:val="decimal"/>
      <w:lvlText w:val="%4."/>
      <w:lvlJc w:val="left"/>
      <w:pPr>
        <w:ind w:left="2880" w:hanging="360"/>
      </w:pPr>
    </w:lvl>
    <w:lvl w:ilvl="4" w:tplc="CACA2432">
      <w:start w:val="1"/>
      <w:numFmt w:val="lowerLetter"/>
      <w:lvlText w:val="%5."/>
      <w:lvlJc w:val="left"/>
      <w:pPr>
        <w:ind w:left="3600" w:hanging="360"/>
      </w:pPr>
    </w:lvl>
    <w:lvl w:ilvl="5" w:tplc="0918341C">
      <w:start w:val="1"/>
      <w:numFmt w:val="lowerRoman"/>
      <w:lvlText w:val="%6."/>
      <w:lvlJc w:val="right"/>
      <w:pPr>
        <w:ind w:left="4320" w:hanging="180"/>
      </w:pPr>
    </w:lvl>
    <w:lvl w:ilvl="6" w:tplc="6EF8B970">
      <w:start w:val="1"/>
      <w:numFmt w:val="decimal"/>
      <w:lvlText w:val="%7."/>
      <w:lvlJc w:val="left"/>
      <w:pPr>
        <w:ind w:left="5040" w:hanging="360"/>
      </w:pPr>
    </w:lvl>
    <w:lvl w:ilvl="7" w:tplc="75C68DFC">
      <w:start w:val="1"/>
      <w:numFmt w:val="lowerLetter"/>
      <w:lvlText w:val="%8."/>
      <w:lvlJc w:val="left"/>
      <w:pPr>
        <w:ind w:left="5760" w:hanging="360"/>
      </w:pPr>
    </w:lvl>
    <w:lvl w:ilvl="8" w:tplc="93B2B5B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DF2335"/>
    <w:multiLevelType w:val="hybridMultilevel"/>
    <w:tmpl w:val="AEEAB906"/>
    <w:lvl w:ilvl="0" w:tplc="C2D4C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A0867C">
      <w:start w:val="1"/>
      <w:numFmt w:val="lowerLetter"/>
      <w:lvlText w:val="%2."/>
      <w:lvlJc w:val="left"/>
      <w:pPr>
        <w:ind w:left="1440" w:hanging="360"/>
      </w:pPr>
    </w:lvl>
    <w:lvl w:ilvl="2" w:tplc="CB6EB780">
      <w:start w:val="1"/>
      <w:numFmt w:val="lowerRoman"/>
      <w:lvlText w:val="%3."/>
      <w:lvlJc w:val="right"/>
      <w:pPr>
        <w:ind w:left="2160" w:hanging="180"/>
      </w:pPr>
    </w:lvl>
    <w:lvl w:ilvl="3" w:tplc="16E24F3A">
      <w:start w:val="1"/>
      <w:numFmt w:val="decimal"/>
      <w:lvlText w:val="%4."/>
      <w:lvlJc w:val="left"/>
      <w:pPr>
        <w:ind w:left="2880" w:hanging="360"/>
      </w:pPr>
    </w:lvl>
    <w:lvl w:ilvl="4" w:tplc="D1926D06">
      <w:start w:val="1"/>
      <w:numFmt w:val="lowerLetter"/>
      <w:lvlText w:val="%5."/>
      <w:lvlJc w:val="left"/>
      <w:pPr>
        <w:ind w:left="3600" w:hanging="360"/>
      </w:pPr>
    </w:lvl>
    <w:lvl w:ilvl="5" w:tplc="E2F8F4C6">
      <w:start w:val="1"/>
      <w:numFmt w:val="lowerRoman"/>
      <w:lvlText w:val="%6."/>
      <w:lvlJc w:val="right"/>
      <w:pPr>
        <w:ind w:left="4320" w:hanging="180"/>
      </w:pPr>
    </w:lvl>
    <w:lvl w:ilvl="6" w:tplc="EE560DF0">
      <w:start w:val="1"/>
      <w:numFmt w:val="decimal"/>
      <w:lvlText w:val="%7."/>
      <w:lvlJc w:val="left"/>
      <w:pPr>
        <w:ind w:left="5040" w:hanging="360"/>
      </w:pPr>
    </w:lvl>
    <w:lvl w:ilvl="7" w:tplc="1FF8CC6C">
      <w:start w:val="1"/>
      <w:numFmt w:val="lowerLetter"/>
      <w:lvlText w:val="%8."/>
      <w:lvlJc w:val="left"/>
      <w:pPr>
        <w:ind w:left="5760" w:hanging="360"/>
      </w:pPr>
    </w:lvl>
    <w:lvl w:ilvl="8" w:tplc="EDA6A07A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1C1A26"/>
    <w:multiLevelType w:val="hybridMultilevel"/>
    <w:tmpl w:val="C70A7E52"/>
    <w:lvl w:ilvl="0" w:tplc="B6B4CF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5B006E60">
      <w:start w:val="1"/>
      <w:numFmt w:val="lowerLetter"/>
      <w:lvlText w:val="%2."/>
      <w:lvlJc w:val="left"/>
      <w:pPr>
        <w:ind w:left="1788" w:hanging="360"/>
      </w:pPr>
    </w:lvl>
    <w:lvl w:ilvl="2" w:tplc="B9CA342A">
      <w:start w:val="1"/>
      <w:numFmt w:val="lowerRoman"/>
      <w:lvlText w:val="%3."/>
      <w:lvlJc w:val="right"/>
      <w:pPr>
        <w:ind w:left="2508" w:hanging="180"/>
      </w:pPr>
    </w:lvl>
    <w:lvl w:ilvl="3" w:tplc="7E027B40">
      <w:start w:val="1"/>
      <w:numFmt w:val="decimal"/>
      <w:lvlText w:val="%4."/>
      <w:lvlJc w:val="left"/>
      <w:pPr>
        <w:ind w:left="3228" w:hanging="360"/>
      </w:pPr>
    </w:lvl>
    <w:lvl w:ilvl="4" w:tplc="BCA8294C">
      <w:start w:val="1"/>
      <w:numFmt w:val="lowerLetter"/>
      <w:lvlText w:val="%5."/>
      <w:lvlJc w:val="left"/>
      <w:pPr>
        <w:ind w:left="3948" w:hanging="360"/>
      </w:pPr>
    </w:lvl>
    <w:lvl w:ilvl="5" w:tplc="BDC84F12">
      <w:start w:val="1"/>
      <w:numFmt w:val="lowerRoman"/>
      <w:lvlText w:val="%6."/>
      <w:lvlJc w:val="right"/>
      <w:pPr>
        <w:ind w:left="4668" w:hanging="180"/>
      </w:pPr>
    </w:lvl>
    <w:lvl w:ilvl="6" w:tplc="B600A9F8">
      <w:start w:val="1"/>
      <w:numFmt w:val="decimal"/>
      <w:lvlText w:val="%7."/>
      <w:lvlJc w:val="left"/>
      <w:pPr>
        <w:ind w:left="5388" w:hanging="360"/>
      </w:pPr>
    </w:lvl>
    <w:lvl w:ilvl="7" w:tplc="28C67A02">
      <w:start w:val="1"/>
      <w:numFmt w:val="lowerLetter"/>
      <w:lvlText w:val="%8."/>
      <w:lvlJc w:val="left"/>
      <w:pPr>
        <w:ind w:left="6108" w:hanging="360"/>
      </w:pPr>
    </w:lvl>
    <w:lvl w:ilvl="8" w:tplc="0240CEBC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4792655"/>
    <w:multiLevelType w:val="hybridMultilevel"/>
    <w:tmpl w:val="9A2AD642"/>
    <w:lvl w:ilvl="0" w:tplc="40903B56">
      <w:start w:val="1"/>
      <w:numFmt w:val="decimal"/>
      <w:lvlText w:val="%1."/>
      <w:lvlJc w:val="left"/>
      <w:pPr>
        <w:ind w:left="1287" w:hanging="360"/>
      </w:pPr>
    </w:lvl>
    <w:lvl w:ilvl="1" w:tplc="A904903C">
      <w:start w:val="1"/>
      <w:numFmt w:val="lowerLetter"/>
      <w:lvlText w:val="%2."/>
      <w:lvlJc w:val="left"/>
      <w:pPr>
        <w:ind w:left="2007" w:hanging="360"/>
      </w:pPr>
    </w:lvl>
    <w:lvl w:ilvl="2" w:tplc="FBCC72C4">
      <w:start w:val="1"/>
      <w:numFmt w:val="lowerRoman"/>
      <w:lvlText w:val="%3."/>
      <w:lvlJc w:val="right"/>
      <w:pPr>
        <w:ind w:left="2727" w:hanging="180"/>
      </w:pPr>
    </w:lvl>
    <w:lvl w:ilvl="3" w:tplc="4126AC7C">
      <w:start w:val="1"/>
      <w:numFmt w:val="decimal"/>
      <w:lvlText w:val="%4."/>
      <w:lvlJc w:val="left"/>
      <w:pPr>
        <w:ind w:left="3447" w:hanging="360"/>
      </w:pPr>
    </w:lvl>
    <w:lvl w:ilvl="4" w:tplc="BCD25654">
      <w:start w:val="1"/>
      <w:numFmt w:val="lowerLetter"/>
      <w:lvlText w:val="%5."/>
      <w:lvlJc w:val="left"/>
      <w:pPr>
        <w:ind w:left="4167" w:hanging="360"/>
      </w:pPr>
    </w:lvl>
    <w:lvl w:ilvl="5" w:tplc="4C12AB30">
      <w:start w:val="1"/>
      <w:numFmt w:val="lowerRoman"/>
      <w:lvlText w:val="%6."/>
      <w:lvlJc w:val="right"/>
      <w:pPr>
        <w:ind w:left="4887" w:hanging="180"/>
      </w:pPr>
    </w:lvl>
    <w:lvl w:ilvl="6" w:tplc="EEA03308">
      <w:start w:val="1"/>
      <w:numFmt w:val="decimal"/>
      <w:lvlText w:val="%7."/>
      <w:lvlJc w:val="left"/>
      <w:pPr>
        <w:ind w:left="5607" w:hanging="360"/>
      </w:pPr>
    </w:lvl>
    <w:lvl w:ilvl="7" w:tplc="2A4AE08A">
      <w:start w:val="1"/>
      <w:numFmt w:val="lowerLetter"/>
      <w:lvlText w:val="%8."/>
      <w:lvlJc w:val="left"/>
      <w:pPr>
        <w:ind w:left="6327" w:hanging="360"/>
      </w:pPr>
    </w:lvl>
    <w:lvl w:ilvl="8" w:tplc="AC0A6A50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10D1FC0"/>
    <w:multiLevelType w:val="hybridMultilevel"/>
    <w:tmpl w:val="829CF82E"/>
    <w:lvl w:ilvl="0" w:tplc="9EE0A16E">
      <w:start w:val="1"/>
      <w:numFmt w:val="decimal"/>
      <w:lvlText w:val="%1."/>
      <w:lvlJc w:val="left"/>
      <w:pPr>
        <w:ind w:left="720" w:hanging="360"/>
      </w:pPr>
    </w:lvl>
    <w:lvl w:ilvl="1" w:tplc="750A75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A4F7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06E8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E04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B8F5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5095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2A5E1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8AED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5D0"/>
    <w:rsid w:val="00010D39"/>
    <w:rsid w:val="001551DE"/>
    <w:rsid w:val="0023691E"/>
    <w:rsid w:val="00242C61"/>
    <w:rsid w:val="00277220"/>
    <w:rsid w:val="00315ACF"/>
    <w:rsid w:val="003915D0"/>
    <w:rsid w:val="00665CD2"/>
    <w:rsid w:val="006D1CEE"/>
    <w:rsid w:val="00814F8A"/>
    <w:rsid w:val="009C65BC"/>
    <w:rsid w:val="00A95C80"/>
    <w:rsid w:val="00B506E4"/>
    <w:rsid w:val="00B841B5"/>
    <w:rsid w:val="00BA2C94"/>
    <w:rsid w:val="00C66392"/>
    <w:rsid w:val="00DA59FD"/>
    <w:rsid w:val="00E7154F"/>
    <w:rsid w:val="00F25FD4"/>
    <w:rsid w:val="00F8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0">
    <w:name w:val="Знак сноски1"/>
    <w:uiPriority w:val="99"/>
    <w:semiHidden/>
    <w:unhideWhenUsed/>
    <w:rPr>
      <w:vertAlign w:val="superscript"/>
    </w:rPr>
  </w:style>
  <w:style w:type="paragraph" w:customStyle="1" w:styleId="11">
    <w:name w:val="Текст концевой сноски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2">
    <w:name w:val="Знак концевой сноски1"/>
    <w:uiPriority w:val="99"/>
    <w:semiHidden/>
    <w:unhideWhenUsed/>
    <w:rPr>
      <w:vertAlign w:val="superscript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/>
        <w:bottom w:val="single" w:sz="4" w:space="0" w:color="000000" w:themeColor="text1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/>
      </w:rPr>
    </w:tblStylePr>
    <w:tblStylePr w:type="firstCol">
      <w:rPr>
        <w:b/>
        <w:color w:val="9ABB59" w:themeColor="accent3" w:themeTint="FE"/>
      </w:rPr>
    </w:tblStylePr>
    <w:tblStylePr w:type="lastCol">
      <w:rPr>
        <w:b/>
        <w:color w:val="9ABB59" w:themeColor="accent3" w:themeTint="FE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/>
      </w:rPr>
    </w:tblStylePr>
    <w:tblStylePr w:type="lastCol">
      <w:rPr>
        <w:b/>
        <w:color w:val="C3D69B" w:themeColor="accent3" w:themeTint="98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/>
      </w:rPr>
    </w:tblStylePr>
    <w:tblStylePr w:type="lastCol">
      <w:rPr>
        <w:b/>
        <w:color w:val="92CCDC" w:themeColor="accent5" w:themeTint="9A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/>
      </w:rPr>
    </w:tblStylePr>
    <w:tblStylePr w:type="lastCol">
      <w:rPr>
        <w:b/>
        <w:color w:val="FAC090" w:themeColor="accent6" w:themeTint="98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customStyle="1" w:styleId="110">
    <w:name w:val="Оглавление 11"/>
    <w:basedOn w:val="a"/>
    <w:next w:val="a"/>
    <w:uiPriority w:val="39"/>
    <w:unhideWhenUsed/>
    <w:pPr>
      <w:spacing w:after="57"/>
    </w:pPr>
  </w:style>
  <w:style w:type="paragraph" w:customStyle="1" w:styleId="21">
    <w:name w:val="Оглавление 21"/>
    <w:basedOn w:val="a"/>
    <w:next w:val="a"/>
    <w:uiPriority w:val="39"/>
    <w:unhideWhenUsed/>
    <w:pPr>
      <w:spacing w:after="57"/>
      <w:ind w:left="283"/>
    </w:pPr>
  </w:style>
  <w:style w:type="paragraph" w:customStyle="1" w:styleId="31">
    <w:name w:val="Оглавление 31"/>
    <w:basedOn w:val="a"/>
    <w:next w:val="a"/>
    <w:uiPriority w:val="39"/>
    <w:unhideWhenUsed/>
    <w:pPr>
      <w:spacing w:after="57"/>
      <w:ind w:left="567"/>
    </w:pPr>
  </w:style>
  <w:style w:type="paragraph" w:customStyle="1" w:styleId="41">
    <w:name w:val="Оглавление 41"/>
    <w:basedOn w:val="a"/>
    <w:next w:val="a"/>
    <w:uiPriority w:val="39"/>
    <w:unhideWhenUsed/>
    <w:pPr>
      <w:spacing w:after="57"/>
      <w:ind w:left="850"/>
    </w:pPr>
  </w:style>
  <w:style w:type="paragraph" w:customStyle="1" w:styleId="51">
    <w:name w:val="Оглавление 51"/>
    <w:basedOn w:val="a"/>
    <w:next w:val="a"/>
    <w:uiPriority w:val="39"/>
    <w:unhideWhenUsed/>
    <w:pPr>
      <w:spacing w:after="57"/>
      <w:ind w:left="1134"/>
    </w:pPr>
  </w:style>
  <w:style w:type="paragraph" w:customStyle="1" w:styleId="61">
    <w:name w:val="Оглавление 61"/>
    <w:basedOn w:val="a"/>
    <w:next w:val="a"/>
    <w:uiPriority w:val="39"/>
    <w:unhideWhenUsed/>
    <w:pPr>
      <w:spacing w:after="57"/>
      <w:ind w:left="1417"/>
    </w:pPr>
  </w:style>
  <w:style w:type="paragraph" w:customStyle="1" w:styleId="71">
    <w:name w:val="Оглавление 71"/>
    <w:basedOn w:val="a"/>
    <w:next w:val="a"/>
    <w:uiPriority w:val="39"/>
    <w:unhideWhenUsed/>
    <w:pPr>
      <w:spacing w:after="57"/>
      <w:ind w:left="1701"/>
    </w:pPr>
  </w:style>
  <w:style w:type="paragraph" w:customStyle="1" w:styleId="81">
    <w:name w:val="Оглавление 81"/>
    <w:basedOn w:val="a"/>
    <w:next w:val="a"/>
    <w:uiPriority w:val="39"/>
    <w:unhideWhenUsed/>
    <w:pPr>
      <w:spacing w:after="57"/>
      <w:ind w:left="1984"/>
    </w:pPr>
  </w:style>
  <w:style w:type="paragraph" w:customStyle="1" w:styleId="91">
    <w:name w:val="Оглавление 91"/>
    <w:basedOn w:val="a"/>
    <w:next w:val="a"/>
    <w:uiPriority w:val="39"/>
    <w:unhideWhenUsed/>
    <w:pPr>
      <w:spacing w:after="57"/>
      <w:ind w:left="2268"/>
    </w:pPr>
  </w:style>
  <w:style w:type="paragraph" w:styleId="a4">
    <w:name w:val="TOC Heading"/>
    <w:uiPriority w:val="39"/>
    <w:unhideWhenUsed/>
  </w:style>
  <w:style w:type="paragraph" w:customStyle="1" w:styleId="13">
    <w:name w:val="Перечень рисунков1"/>
    <w:basedOn w:val="a"/>
    <w:next w:val="a"/>
    <w:uiPriority w:val="99"/>
    <w:unhideWhenUsed/>
    <w:pPr>
      <w:spacing w:after="0"/>
    </w:pPr>
  </w:style>
  <w:style w:type="paragraph" w:customStyle="1" w:styleId="310">
    <w:name w:val="Заголовок 31"/>
    <w:link w:val="Heading3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0">
    <w:name w:val="Заголовок 41"/>
    <w:link w:val="Heading4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0">
    <w:name w:val="Заголовок 51"/>
    <w:link w:val="Heading5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610">
    <w:name w:val="Заголовок 61"/>
    <w:link w:val="Heading6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710">
    <w:name w:val="Заголовок 71"/>
    <w:link w:val="Heading7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0">
    <w:name w:val="Заголовок 81"/>
    <w:link w:val="Heading8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0">
    <w:name w:val="Заголовок 91"/>
    <w:link w:val="Heading9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31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link w:val="410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link w:val="510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link w:val="610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link w:val="710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link w:val="810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910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link w:val="a7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7">
    <w:name w:val="Название Знак"/>
    <w:link w:val="a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8">
    <w:name w:val="Subtitle"/>
    <w:link w:val="a9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uiPriority w:val="19"/>
    <w:qFormat/>
    <w:rPr>
      <w:i/>
      <w:iCs/>
      <w:color w:val="808080" w:themeColor="text1" w:themeTint="7F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d">
    <w:name w:val="Strong"/>
    <w:uiPriority w:val="22"/>
    <w:qFormat/>
    <w:rPr>
      <w:b/>
      <w:bCs/>
    </w:rPr>
  </w:style>
  <w:style w:type="paragraph" w:styleId="2">
    <w:name w:val="Quote"/>
    <w:link w:val="20"/>
    <w:uiPriority w:val="29"/>
    <w:qFormat/>
    <w:rPr>
      <w:i/>
      <w:iCs/>
      <w:color w:val="000000" w:themeColor="text1"/>
    </w:rPr>
  </w:style>
  <w:style w:type="character" w:customStyle="1" w:styleId="20">
    <w:name w:val="Цитата 2 Знак"/>
    <w:link w:val="2"/>
    <w:uiPriority w:val="29"/>
    <w:rPr>
      <w:i/>
      <w:iCs/>
      <w:color w:val="000000" w:themeColor="text1"/>
    </w:rPr>
  </w:style>
  <w:style w:type="paragraph" w:styleId="ae">
    <w:name w:val="Intense Quote"/>
    <w:link w:val="af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link w:val="ae"/>
    <w:uiPriority w:val="30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Pr>
      <w:b/>
      <w:bCs/>
      <w:smallCaps/>
      <w:spacing w:val="5"/>
    </w:rPr>
  </w:style>
  <w:style w:type="paragraph" w:customStyle="1" w:styleId="14">
    <w:name w:val="Текст сноски1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14"/>
    <w:uiPriority w:val="99"/>
    <w:semiHidden/>
    <w:rPr>
      <w:sz w:val="20"/>
      <w:szCs w:val="20"/>
    </w:rPr>
  </w:style>
  <w:style w:type="character" w:customStyle="1" w:styleId="15">
    <w:name w:val="Знак сноски1"/>
    <w:uiPriority w:val="99"/>
    <w:semiHidden/>
    <w:unhideWhenUsed/>
    <w:rPr>
      <w:vertAlign w:val="superscript"/>
    </w:rPr>
  </w:style>
  <w:style w:type="paragraph" w:customStyle="1" w:styleId="16">
    <w:name w:val="Текст концевой сноски1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16"/>
    <w:uiPriority w:val="99"/>
    <w:semiHidden/>
    <w:rPr>
      <w:sz w:val="20"/>
      <w:szCs w:val="20"/>
    </w:rPr>
  </w:style>
  <w:style w:type="character" w:customStyle="1" w:styleId="17">
    <w:name w:val="Знак концевой сноски1"/>
    <w:uiPriority w:val="99"/>
    <w:semiHidden/>
    <w:unhideWhenUsed/>
    <w:rPr>
      <w:vertAlign w:val="superscript"/>
    </w:rPr>
  </w:style>
  <w:style w:type="paragraph" w:styleId="af3">
    <w:name w:val="Plain Text"/>
    <w:link w:val="af4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link w:val="af3"/>
    <w:uiPriority w:val="99"/>
    <w:rPr>
      <w:rFonts w:ascii="Courier New" w:hAnsi="Courier New" w:cs="Courier New"/>
      <w:sz w:val="21"/>
      <w:szCs w:val="21"/>
    </w:rPr>
  </w:style>
  <w:style w:type="paragraph" w:customStyle="1" w:styleId="18">
    <w:name w:val="Верхний колонтитул1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link w:val="18"/>
    <w:uiPriority w:val="99"/>
  </w:style>
  <w:style w:type="paragraph" w:customStyle="1" w:styleId="19">
    <w:name w:val="Нижний колонтитул1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link w:val="19"/>
    <w:uiPriority w:val="99"/>
  </w:style>
  <w:style w:type="paragraph" w:customStyle="1" w:styleId="1a">
    <w:name w:val="Название объекта1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111">
    <w:name w:val="Заголовок 11"/>
    <w:basedOn w:val="a"/>
    <w:next w:val="a"/>
    <w:link w:val="1b"/>
    <w:uiPriority w:val="9"/>
    <w:qFormat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0">
    <w:name w:val="Заголовок 21"/>
    <w:basedOn w:val="a"/>
    <w:link w:val="22"/>
    <w:uiPriority w:val="9"/>
    <w:qFormat/>
    <w:pPr>
      <w:spacing w:before="100" w:after="10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List Paragraph"/>
    <w:basedOn w:val="a"/>
    <w:uiPriority w:val="99"/>
    <w:qFormat/>
    <w:pPr>
      <w:ind w:left="720"/>
      <w:contextualSpacing/>
    </w:pPr>
  </w:style>
  <w:style w:type="character" w:styleId="af6">
    <w:name w:val="Hyperlink"/>
    <w:basedOn w:val="a0"/>
    <w:uiPriority w:val="99"/>
    <w:unhideWhenUsed/>
    <w:rPr>
      <w:color w:val="0000FF"/>
      <w:u w:val="single"/>
    </w:rPr>
  </w:style>
  <w:style w:type="character" w:customStyle="1" w:styleId="22">
    <w:name w:val="Заголовок 2 Знак"/>
    <w:basedOn w:val="a0"/>
    <w:link w:val="210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b">
    <w:name w:val="Заголовок 1 Знак"/>
    <w:basedOn w:val="a0"/>
    <w:link w:val="11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uiPriority w:val="99"/>
  </w:style>
  <w:style w:type="character" w:customStyle="1" w:styleId="Apple-converted-space">
    <w:name w:val="Apple-converted-space"/>
    <w:basedOn w:val="a0"/>
    <w:uiPriority w:val="99"/>
  </w:style>
  <w:style w:type="paragraph" w:styleId="af7">
    <w:name w:val="Normal (Web)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Текст сноски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0">
    <w:name w:val="Знак сноски1"/>
    <w:uiPriority w:val="99"/>
    <w:semiHidden/>
    <w:unhideWhenUsed/>
    <w:rPr>
      <w:vertAlign w:val="superscript"/>
    </w:rPr>
  </w:style>
  <w:style w:type="paragraph" w:customStyle="1" w:styleId="11">
    <w:name w:val="Текст концевой сноски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12">
    <w:name w:val="Знак концевой сноски1"/>
    <w:uiPriority w:val="99"/>
    <w:semiHidden/>
    <w:unhideWhenUsed/>
    <w:rPr>
      <w:vertAlign w:val="superscript"/>
    </w:rPr>
  </w:style>
  <w:style w:type="character" w:customStyle="1" w:styleId="PlainTextChar">
    <w:name w:val="Plain Text Char"/>
    <w:uiPriority w:val="99"/>
    <w:rPr>
      <w:rFonts w:ascii="Courier New" w:hAnsi="Courier New" w:cs="Courier New"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uiPriority w:val="99"/>
  </w:style>
  <w:style w:type="table" w:styleId="a3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/>
        <w:bottom w:val="single" w:sz="4" w:space="0" w:color="000000" w:themeColor="text1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/>
      </w:rPr>
    </w:tblStylePr>
    <w:tblStylePr w:type="firstCol">
      <w:rPr>
        <w:b/>
        <w:color w:val="7F7F7F" w:themeColor="text1" w:themeTint="80"/>
      </w:rPr>
    </w:tblStylePr>
    <w:tblStylePr w:type="lastCol">
      <w:rPr>
        <w:b/>
        <w:color w:val="7F7F7F" w:themeColor="text1" w:themeTint="80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/>
      </w:rPr>
    </w:tblStylePr>
    <w:tblStylePr w:type="firstCol">
      <w:rPr>
        <w:b/>
        <w:color w:val="A6BFDD" w:themeColor="accent1" w:themeTint="80"/>
      </w:rPr>
    </w:tblStylePr>
    <w:tblStylePr w:type="lastCol">
      <w:rPr>
        <w:b/>
        <w:color w:val="A6BFDD" w:themeColor="accent1" w:themeTint="80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/>
      </w:rPr>
    </w:tblStylePr>
    <w:tblStylePr w:type="firstCol">
      <w:rPr>
        <w:b/>
        <w:color w:val="9ABB59" w:themeColor="accent3" w:themeTint="FE"/>
      </w:rPr>
    </w:tblStylePr>
    <w:tblStylePr w:type="lastCol">
      <w:rPr>
        <w:b/>
        <w:color w:val="9ABB59" w:themeColor="accent3" w:themeTint="FE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/>
      </w:rPr>
    </w:tblStylePr>
    <w:tblStylePr w:type="lastCol">
      <w:rPr>
        <w:b/>
        <w:color w:val="D99695" w:themeColor="accent2" w:themeTint="97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/>
      </w:rPr>
    </w:tblStylePr>
    <w:tblStylePr w:type="lastCol">
      <w:rPr>
        <w:b/>
        <w:color w:val="C3D69B" w:themeColor="accent3" w:themeTint="98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/>
      </w:rPr>
    </w:tblStylePr>
    <w:tblStylePr w:type="lastCol">
      <w:rPr>
        <w:b/>
        <w:color w:val="B2A1C6" w:themeColor="accent4" w:themeTint="9A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/>
      </w:rPr>
    </w:tblStylePr>
    <w:tblStylePr w:type="lastCol">
      <w:rPr>
        <w:b/>
        <w:color w:val="92CCDC" w:themeColor="accent5" w:themeTint="9A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/>
      </w:rPr>
    </w:tblStylePr>
    <w:tblStylePr w:type="lastCol">
      <w:rPr>
        <w:b/>
        <w:color w:val="FAC090" w:themeColor="accent6" w:themeTint="98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FFFFFF" w:themeFill="text1" w:themeFillTint="00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customStyle="1" w:styleId="110">
    <w:name w:val="Оглавление 11"/>
    <w:basedOn w:val="a"/>
    <w:next w:val="a"/>
    <w:uiPriority w:val="39"/>
    <w:unhideWhenUsed/>
    <w:pPr>
      <w:spacing w:after="57"/>
    </w:pPr>
  </w:style>
  <w:style w:type="paragraph" w:customStyle="1" w:styleId="21">
    <w:name w:val="Оглавление 21"/>
    <w:basedOn w:val="a"/>
    <w:next w:val="a"/>
    <w:uiPriority w:val="39"/>
    <w:unhideWhenUsed/>
    <w:pPr>
      <w:spacing w:after="57"/>
      <w:ind w:left="283"/>
    </w:pPr>
  </w:style>
  <w:style w:type="paragraph" w:customStyle="1" w:styleId="31">
    <w:name w:val="Оглавление 31"/>
    <w:basedOn w:val="a"/>
    <w:next w:val="a"/>
    <w:uiPriority w:val="39"/>
    <w:unhideWhenUsed/>
    <w:pPr>
      <w:spacing w:after="57"/>
      <w:ind w:left="567"/>
    </w:pPr>
  </w:style>
  <w:style w:type="paragraph" w:customStyle="1" w:styleId="41">
    <w:name w:val="Оглавление 41"/>
    <w:basedOn w:val="a"/>
    <w:next w:val="a"/>
    <w:uiPriority w:val="39"/>
    <w:unhideWhenUsed/>
    <w:pPr>
      <w:spacing w:after="57"/>
      <w:ind w:left="850"/>
    </w:pPr>
  </w:style>
  <w:style w:type="paragraph" w:customStyle="1" w:styleId="51">
    <w:name w:val="Оглавление 51"/>
    <w:basedOn w:val="a"/>
    <w:next w:val="a"/>
    <w:uiPriority w:val="39"/>
    <w:unhideWhenUsed/>
    <w:pPr>
      <w:spacing w:after="57"/>
      <w:ind w:left="1134"/>
    </w:pPr>
  </w:style>
  <w:style w:type="paragraph" w:customStyle="1" w:styleId="61">
    <w:name w:val="Оглавление 61"/>
    <w:basedOn w:val="a"/>
    <w:next w:val="a"/>
    <w:uiPriority w:val="39"/>
    <w:unhideWhenUsed/>
    <w:pPr>
      <w:spacing w:after="57"/>
      <w:ind w:left="1417"/>
    </w:pPr>
  </w:style>
  <w:style w:type="paragraph" w:customStyle="1" w:styleId="71">
    <w:name w:val="Оглавление 71"/>
    <w:basedOn w:val="a"/>
    <w:next w:val="a"/>
    <w:uiPriority w:val="39"/>
    <w:unhideWhenUsed/>
    <w:pPr>
      <w:spacing w:after="57"/>
      <w:ind w:left="1701"/>
    </w:pPr>
  </w:style>
  <w:style w:type="paragraph" w:customStyle="1" w:styleId="81">
    <w:name w:val="Оглавление 81"/>
    <w:basedOn w:val="a"/>
    <w:next w:val="a"/>
    <w:uiPriority w:val="39"/>
    <w:unhideWhenUsed/>
    <w:pPr>
      <w:spacing w:after="57"/>
      <w:ind w:left="1984"/>
    </w:pPr>
  </w:style>
  <w:style w:type="paragraph" w:customStyle="1" w:styleId="91">
    <w:name w:val="Оглавление 91"/>
    <w:basedOn w:val="a"/>
    <w:next w:val="a"/>
    <w:uiPriority w:val="39"/>
    <w:unhideWhenUsed/>
    <w:pPr>
      <w:spacing w:after="57"/>
      <w:ind w:left="2268"/>
    </w:pPr>
  </w:style>
  <w:style w:type="paragraph" w:styleId="a4">
    <w:name w:val="TOC Heading"/>
    <w:uiPriority w:val="39"/>
    <w:unhideWhenUsed/>
  </w:style>
  <w:style w:type="paragraph" w:customStyle="1" w:styleId="13">
    <w:name w:val="Перечень рисунков1"/>
    <w:basedOn w:val="a"/>
    <w:next w:val="a"/>
    <w:uiPriority w:val="99"/>
    <w:unhideWhenUsed/>
    <w:pPr>
      <w:spacing w:after="0"/>
    </w:pPr>
  </w:style>
  <w:style w:type="paragraph" w:customStyle="1" w:styleId="310">
    <w:name w:val="Заголовок 31"/>
    <w:link w:val="Heading3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410">
    <w:name w:val="Заголовок 41"/>
    <w:link w:val="Heading4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510">
    <w:name w:val="Заголовок 51"/>
    <w:link w:val="Heading5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610">
    <w:name w:val="Заголовок 61"/>
    <w:link w:val="Heading6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710">
    <w:name w:val="Заголовок 71"/>
    <w:link w:val="Heading7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10">
    <w:name w:val="Заголовок 81"/>
    <w:link w:val="Heading8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10">
    <w:name w:val="Заголовок 91"/>
    <w:link w:val="Heading9Char"/>
    <w:uiPriority w:val="9"/>
    <w:semiHidden/>
    <w:unhideWhenUsed/>
    <w:qFormat/>
    <w:pPr>
      <w:keepNext/>
      <w:keepLines/>
      <w:spacing w:before="200" w:after="0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310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link w:val="410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link w:val="510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link w:val="610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link w:val="710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link w:val="810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link w:val="910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Title"/>
    <w:link w:val="a7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7">
    <w:name w:val="Название Знак"/>
    <w:link w:val="a6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8">
    <w:name w:val="Subtitle"/>
    <w:link w:val="a9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link w:val="a8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ubtle Emphasis"/>
    <w:uiPriority w:val="19"/>
    <w:qFormat/>
    <w:rPr>
      <w:i/>
      <w:iCs/>
      <w:color w:val="808080" w:themeColor="text1" w:themeTint="7F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d">
    <w:name w:val="Strong"/>
    <w:uiPriority w:val="22"/>
    <w:qFormat/>
    <w:rPr>
      <w:b/>
      <w:bCs/>
    </w:rPr>
  </w:style>
  <w:style w:type="paragraph" w:styleId="2">
    <w:name w:val="Quote"/>
    <w:link w:val="20"/>
    <w:uiPriority w:val="29"/>
    <w:qFormat/>
    <w:rPr>
      <w:i/>
      <w:iCs/>
      <w:color w:val="000000" w:themeColor="text1"/>
    </w:rPr>
  </w:style>
  <w:style w:type="character" w:customStyle="1" w:styleId="20">
    <w:name w:val="Цитата 2 Знак"/>
    <w:link w:val="2"/>
    <w:uiPriority w:val="29"/>
    <w:rPr>
      <w:i/>
      <w:iCs/>
      <w:color w:val="000000" w:themeColor="text1"/>
    </w:rPr>
  </w:style>
  <w:style w:type="paragraph" w:styleId="ae">
    <w:name w:val="Intense Quote"/>
    <w:link w:val="af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link w:val="ae"/>
    <w:uiPriority w:val="30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Pr>
      <w:b/>
      <w:bCs/>
      <w:smallCaps/>
      <w:spacing w:val="5"/>
    </w:rPr>
  </w:style>
  <w:style w:type="paragraph" w:customStyle="1" w:styleId="14">
    <w:name w:val="Текст сноски1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14"/>
    <w:uiPriority w:val="99"/>
    <w:semiHidden/>
    <w:rPr>
      <w:sz w:val="20"/>
      <w:szCs w:val="20"/>
    </w:rPr>
  </w:style>
  <w:style w:type="character" w:customStyle="1" w:styleId="15">
    <w:name w:val="Знак сноски1"/>
    <w:uiPriority w:val="99"/>
    <w:semiHidden/>
    <w:unhideWhenUsed/>
    <w:rPr>
      <w:vertAlign w:val="superscript"/>
    </w:rPr>
  </w:style>
  <w:style w:type="paragraph" w:customStyle="1" w:styleId="16">
    <w:name w:val="Текст концевой сноски1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16"/>
    <w:uiPriority w:val="99"/>
    <w:semiHidden/>
    <w:rPr>
      <w:sz w:val="20"/>
      <w:szCs w:val="20"/>
    </w:rPr>
  </w:style>
  <w:style w:type="character" w:customStyle="1" w:styleId="17">
    <w:name w:val="Знак концевой сноски1"/>
    <w:uiPriority w:val="99"/>
    <w:semiHidden/>
    <w:unhideWhenUsed/>
    <w:rPr>
      <w:vertAlign w:val="superscript"/>
    </w:rPr>
  </w:style>
  <w:style w:type="paragraph" w:styleId="af3">
    <w:name w:val="Plain Text"/>
    <w:link w:val="af4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4">
    <w:name w:val="Текст Знак"/>
    <w:link w:val="af3"/>
    <w:uiPriority w:val="99"/>
    <w:rPr>
      <w:rFonts w:ascii="Courier New" w:hAnsi="Courier New" w:cs="Courier New"/>
      <w:sz w:val="21"/>
      <w:szCs w:val="21"/>
    </w:rPr>
  </w:style>
  <w:style w:type="paragraph" w:customStyle="1" w:styleId="18">
    <w:name w:val="Верхний колонтитул1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link w:val="18"/>
    <w:uiPriority w:val="99"/>
  </w:style>
  <w:style w:type="paragraph" w:customStyle="1" w:styleId="19">
    <w:name w:val="Нижний колонтитул1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link w:val="19"/>
    <w:uiPriority w:val="99"/>
  </w:style>
  <w:style w:type="paragraph" w:customStyle="1" w:styleId="1a">
    <w:name w:val="Название объекта1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111">
    <w:name w:val="Заголовок 11"/>
    <w:basedOn w:val="a"/>
    <w:next w:val="a"/>
    <w:link w:val="1b"/>
    <w:uiPriority w:val="9"/>
    <w:qFormat/>
    <w:pPr>
      <w:keepNext/>
      <w:keepLines/>
      <w:spacing w:before="480" w:after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0">
    <w:name w:val="Заголовок 21"/>
    <w:basedOn w:val="a"/>
    <w:link w:val="22"/>
    <w:uiPriority w:val="9"/>
    <w:qFormat/>
    <w:pPr>
      <w:spacing w:before="100" w:after="10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uiPriority w:val="99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List Paragraph"/>
    <w:basedOn w:val="a"/>
    <w:uiPriority w:val="99"/>
    <w:qFormat/>
    <w:pPr>
      <w:ind w:left="720"/>
      <w:contextualSpacing/>
    </w:pPr>
  </w:style>
  <w:style w:type="character" w:styleId="af6">
    <w:name w:val="Hyperlink"/>
    <w:basedOn w:val="a0"/>
    <w:uiPriority w:val="99"/>
    <w:unhideWhenUsed/>
    <w:rPr>
      <w:color w:val="0000FF"/>
      <w:u w:val="single"/>
    </w:rPr>
  </w:style>
  <w:style w:type="character" w:customStyle="1" w:styleId="22">
    <w:name w:val="Заголовок 2 Знак"/>
    <w:basedOn w:val="a0"/>
    <w:link w:val="210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b">
    <w:name w:val="Заголовок 1 Знак"/>
    <w:basedOn w:val="a0"/>
    <w:link w:val="11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headline">
    <w:name w:val="Mw-headline"/>
    <w:basedOn w:val="a0"/>
    <w:uiPriority w:val="99"/>
  </w:style>
  <w:style w:type="character" w:customStyle="1" w:styleId="Apple-converted-space">
    <w:name w:val="Apple-converted-space"/>
    <w:basedOn w:val="a0"/>
    <w:uiPriority w:val="99"/>
  </w:style>
  <w:style w:type="paragraph" w:styleId="af7">
    <w:name w:val="Normal (Web)"/>
    <w:basedOn w:val="a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hyperlink" Target="https://vk.com/away.php?to=http%3A%2F%2F%D1%EF%F0%E0%E2%EE%F7%ED%E8%EA24.%EE%ED%EB%E0%E9%ED&amp;cc_key=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0.jpg"/><Relationship Id="rId17" Type="http://schemas.openxmlformats.org/officeDocument/2006/relationships/hyperlink" Target="https://www.studmed.ru/milner-bz-teoriya-organizacii_d27cfee00c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nanium.com/catalog/author/32e52fdc-a6d6-11e4-a7c9-90b11c31de4c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yperlink" Target="https://znanium.com/catalog/author/32e52fdd-a6d6-11e4-a7c9-90b11c31de4c" TargetMode="External"/><Relationship Id="rId19" Type="http://schemas.openxmlformats.org/officeDocument/2006/relationships/hyperlink" Target="http://network-journal.mpei.ac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889C8-AD6B-4EA4-AA90-3D7EFAE1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2802</Words>
  <Characters>15976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Леонид</cp:lastModifiedBy>
  <cp:revision>2</cp:revision>
  <dcterms:created xsi:type="dcterms:W3CDTF">2024-06-02T19:42:00Z</dcterms:created>
  <dcterms:modified xsi:type="dcterms:W3CDTF">2024-06-02T19:42:00Z</dcterms:modified>
</cp:coreProperties>
</file>